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Multivariable</w:t>
      </w:r>
      <w:r>
        <w:t xml:space="preserve"> </w:t>
      </w:r>
      <w:r>
        <w:t xml:space="preserve">Centralized</w:t>
      </w:r>
      <w:r>
        <w:t xml:space="preserve"> </w:t>
      </w:r>
      <w:r>
        <w:t xml:space="preserve">Control</w:t>
      </w:r>
      <w:r>
        <w:t xml:space="preserve"> </w:t>
      </w:r>
      <w:r>
        <w:t xml:space="preserve">and</w:t>
      </w:r>
      <w:r>
        <w:t xml:space="preserve"> </w:t>
      </w:r>
      <w:r>
        <w:t xml:space="preserve">MPC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2023-10-02</w:t>
      </w:r>
    </w:p>
    <w:bookmarkStart w:id="44" w:name="activities"/>
    <w:p>
      <w:pPr>
        <w:pStyle w:val="Heading1"/>
      </w:pPr>
      <w:r>
        <w:t xml:space="preserve">1. Activities</w:t>
      </w:r>
    </w:p>
    <w:p>
      <w:pPr>
        <w:numPr>
          <w:ilvl w:val="0"/>
          <w:numId w:val="1001"/>
        </w:numPr>
      </w:pPr>
      <w:r>
        <w:t xml:space="preserve">Explain the advantages and limitations of Model Predictive Control compared to the conventional decentralized PID control system.</w:t>
      </w:r>
    </w:p>
    <w:p>
      <w:pPr>
        <w:numPr>
          <w:ilvl w:val="0"/>
          <w:numId w:val="1001"/>
        </w:numPr>
      </w:pPr>
      <w:r>
        <w:t xml:space="preserve">Consider the process given by</w:t>
      </w:r>
    </w:p>
    <w:p>
      <w:pPr>
        <w:pStyle w:val="FirstParagraph"/>
      </w:pPr>
      <w:bookmarkStart w:id="20" w:name="eq-1"/>
      <m:oMathPara>
        <m:oMathParaPr>
          <m:jc m:val="center"/>
        </m:oMathParaPr>
        <m:oMath>
          <m:r>
            <m:t>G</m:t>
          </m:r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7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0.5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4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19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20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  <m:e>
                    <m:f>
                      <m:fPr>
                        <m:type m:val="bar"/>
                      </m:fPr>
                      <m:num>
                        <m:r>
                          <m:t>1.5</m:t>
                        </m:r>
                        <m:r>
                          <m:rPr>
                            <m:sty m:val="p"/>
                          </m:rPr>
                          <m:t>exp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  <m:r>
                              <m:t>s</m:t>
                            </m:r>
                          </m:e>
                        </m:d>
                      </m:num>
                      <m:den>
                        <m:r>
                          <m:t>15</m:t>
                        </m:r>
                        <m:r>
                          <m:t>s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r>
                          <m:t>1</m:t>
                        </m:r>
                      </m:den>
                    </m:f>
                  </m:e>
                </m:mr>
              </m:m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0"/>
    </w:p>
    <w:p>
      <w:pPr>
        <w:pStyle w:val="FirstParagraph"/>
      </w:pPr>
      <w:r>
        <w:t xml:space="preserve">Design the decouplers</w:t>
      </w:r>
      <w:r>
        <w:t xml:space="preserve"> </w:t>
      </w:r>
      <m:oMath>
        <m:sSub>
          <m:e>
            <m:r>
              <m:t>D</m:t>
            </m:r>
          </m:e>
          <m:sub>
            <m:r>
              <m:t>12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21</m:t>
            </m:r>
          </m:sub>
        </m:sSub>
      </m:oMath>
      <w:r>
        <w:t xml:space="preserve"> </w:t>
      </w:r>
      <w:r>
        <w:t xml:space="preserve">and comment whether the systems are physically realizable or not.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 decoupler transfer function is given in</w:t>
            </w:r>
            <w:r>
              <w:t xml:space="preserve"> </w:t>
            </w:r>
            <w:hyperlink r:id="rId24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25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2"/>
        </w:numPr>
      </w:pPr>
      <w:r>
        <w:t xml:space="preserve">The discrete-time step response model of a process is given in</w:t>
      </w:r>
      <w:r>
        <w:t xml:space="preserve"> </w:t>
      </w:r>
      <w:hyperlink w:anchor="tbl-1">
        <w:r>
          <w:rPr>
            <w:rStyle w:val="Hyperlink"/>
          </w:rPr>
          <w:t xml:space="preserve">Table 1</w:t>
        </w:r>
      </w:hyperlink>
      <w:r>
        <w:t xml:space="preserve">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6" w:name="tbl-1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Discrete-time step response model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584"/>
              <w:gridCol w:w="1584"/>
              <w:gridCol w:w="1584"/>
              <w:gridCol w:w="1584"/>
              <w:gridCol w:w="1584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i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m:oMath>
                    <m:r>
                      <m:t>Δ</m:t>
                    </m:r>
                    <m:r>
                      <m:t>u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y(t)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a</w:t>
                  </w:r>
                  <w:r>
                    <w:rPr>
                      <w:vertAlign w:val="subscript"/>
                    </w:rPr>
                    <w:t xml:space="preserve">i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0.3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0.3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0.7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0.88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0.88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7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7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0.89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0.89</w:t>
                  </w:r>
                </w:p>
              </w:tc>
            </w:tr>
          </w:tbl>
          <w:bookmarkEnd w:id="26"/>
          <w:p/>
        </w:tc>
      </w:tr>
    </w:tbl>
    <w:p>
      <w:pPr>
        <w:pStyle w:val="BodyText"/>
      </w:pPr>
      <w:r>
        <w:t xml:space="preserve">Suppose that the process is subjected to a consecutive step changes in the</w:t>
      </w:r>
      <w:r>
        <w:t xml:space="preserve"> </w:t>
      </w:r>
      <w:r>
        <w:t xml:space="preserve">input:</w:t>
      </w:r>
      <w:r>
        <w:t xml:space="preserve"> </w:t>
      </w:r>
      <m:oMath>
        <m:r>
          <m:t>Δ</m:t>
        </m:r>
        <m:r>
          <m:t>u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at t=0,</w:t>
      </w:r>
      <w:r>
        <w:t xml:space="preserve"> </w:t>
      </w:r>
      <m:oMath>
        <m:r>
          <m:t>Δ</m:t>
        </m:r>
        <m:r>
          <m:t>u</m:t>
        </m:r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at t=2 and</w:t>
      </w:r>
      <w:r>
        <w:t xml:space="preserve"> </w:t>
      </w:r>
      <m:oMath>
        <m:r>
          <m:t>Δ</m:t>
        </m:r>
        <m:r>
          <m:t>u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at t=4,</w:t>
      </w:r>
      <w:r>
        <w:t xml:space="preserve"> </w:t>
      </w:r>
      <w:r>
        <w:t xml:space="preserve">determine the values of y</w:t>
      </w:r>
      <w:r>
        <w:rPr>
          <w:vertAlign w:val="subscript"/>
        </w:rPr>
        <w:t xml:space="preserve">5</w:t>
      </w:r>
      <w:r>
        <w:t xml:space="preserve"> </w:t>
      </w:r>
      <w:r>
        <w:t xml:space="preserve">and y</w:t>
      </w:r>
      <w:r>
        <w:rPr>
          <w:vertAlign w:val="subscript"/>
        </w:rPr>
        <w:t xml:space="preserve">9</w:t>
      </w:r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 decoupler transfer function is given in</w:t>
            </w:r>
            <w:r>
              <w:t xml:space="preserve"> </w:t>
            </w:r>
            <w:hyperlink r:id="rId29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30">
              <w:r>
                <w:rPr>
                  <w:rStyle w:val="Hyperlink"/>
                </w:rPr>
                <w:t xml:space="preserve">mlx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. The data in</w:t>
            </w:r>
            <w:r>
              <w:t xml:space="preserve"> </w:t>
            </w:r>
            <w:hyperlink w:anchor="tbl-1">
              <w:r>
                <w:rPr>
                  <w:rStyle w:val="Hyperlink"/>
                </w:rPr>
                <w:t xml:space="preserve">Table 1</w:t>
              </w:r>
            </w:hyperlink>
            <w:r>
              <w:t xml:space="preserve"> </w:t>
            </w:r>
            <w:r>
              <w:t xml:space="preserve">can be</w:t>
            </w:r>
            <w:r>
              <w:t xml:space="preserve"> </w:t>
            </w:r>
            <w:r>
              <w:t xml:space="preserve">downloaded from</w:t>
            </w:r>
            <w:r>
              <w:t xml:space="preserve"> </w:t>
            </w:r>
            <w:hyperlink r:id="rId31">
              <w:r>
                <w:rPr>
                  <w:rStyle w:val="Hyperlink"/>
                </w:rPr>
                <w:t xml:space="preserve">discrete_time_response.csv</w:t>
              </w:r>
            </w:hyperlink>
            <w:r>
              <w:t xml:space="preserve">.</w:t>
            </w:r>
          </w:p>
        </w:tc>
      </w:tr>
    </w:tbl>
    <w:p>
      <w:pPr>
        <w:pStyle w:val="Compact"/>
        <w:numPr>
          <w:ilvl w:val="0"/>
          <w:numId w:val="1003"/>
        </w:numPr>
      </w:pPr>
      <w:r>
        <w:t xml:space="preserve">Develop a DTSRM for the following transfer function</w:t>
      </w:r>
    </w:p>
    <w:p>
      <w:pPr>
        <w:pStyle w:val="FirstParagraph"/>
      </w:pPr>
      <w:bookmarkStart w:id="32" w:name="eq-p4"/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2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  <m:r>
                    <m:t>s</m:t>
                  </m:r>
                </m:sup>
              </m:sSup>
            </m:num>
            <m:den>
              <m:r>
                <m:t>5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32"/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For the given transfer cunction,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m:oMath>
              <m:r>
                <m:t>K</m:t>
              </m:r>
            </m:oMath>
            <w:r>
              <w:t xml:space="preserve"> </w:t>
            </w:r>
            <w:r>
              <w:t xml:space="preserve">= 2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m:oMath>
              <m:r>
                <m:t>τ</m:t>
              </m:r>
            </m:oMath>
            <w:r>
              <w:t xml:space="preserve"> </w:t>
            </w:r>
            <w:r>
              <w:t xml:space="preserve">= 5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m:oMath>
              <m:r>
                <m:t>θ</m:t>
              </m:r>
            </m:oMath>
            <w:r>
              <w:t xml:space="preserve"> </w:t>
            </w:r>
            <w:r>
              <w:t xml:space="preserve">= 2 seconds</w:t>
            </w:r>
          </w:p>
          <w:bookmarkStart w:id="35" w:name="apply-a-unit-step-input"/>
          <w:p>
            <w:pPr>
              <w:pStyle w:val="Heading2"/>
            </w:pPr>
            <w:r>
              <w:t xml:space="preserve">1.1 Apply a Unit Step Input</w:t>
            </w:r>
          </w:p>
          <w:p>
            <w:pPr>
              <w:pStyle w:val="FirstParagraph"/>
            </w:pPr>
            <w:r>
              <w:t xml:space="preserve">To develop the step response model, apply a unit step change in the input</w:t>
            </w:r>
            <w:r>
              <w:t xml:space="preserve"> </w:t>
            </w:r>
            <m:oMath>
              <m:r>
                <m:t>u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  <w:r>
              <w:t xml:space="preserve">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Δ</m:t>
                </m:r>
                <m:r>
                  <m:t>u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1</m:t>
                </m:r>
                <m:r>
                  <m:rPr>
                    <m:sty m:val="p"/>
                  </m:rPr>
                  <m:t>,</m:t>
                </m:r>
                <m:r>
                  <m:rPr>
                    <m:nor/>
                    <m:sty m:val="p"/>
                  </m:rPr>
                  <m:t> for </m:t>
                </m:r>
                <m:r>
                  <m:t>t</m:t>
                </m:r>
                <m:r>
                  <m:rPr>
                    <m:sty m:val="p"/>
                  </m:rPr>
                  <m:t>≥</m:t>
                </m:r>
                <m:r>
                  <m:t>0</m:t>
                </m:r>
              </m:oMath>
            </m:oMathPara>
          </w:p>
          <w:p>
            <w:pPr>
              <w:pStyle w:val="FirstParagraph"/>
            </w:pPr>
            <w:r>
              <w:t xml:space="preserve">Let’s use</w:t>
            </w:r>
            <w:r>
              <w:t xml:space="preserve"> </w:t>
            </w:r>
            <m:oMath>
              <m:sSub>
                <m:e>
                  <m:r>
                    <m:t>T</m:t>
                  </m:r>
                </m:e>
                <m:sub>
                  <m:r>
                    <m:t>s</m:t>
                  </m:r>
                </m:sub>
              </m:sSub>
            </m:oMath>
            <w:r>
              <w:t xml:space="preserve"> </w:t>
            </w:r>
            <w:r>
              <w:t xml:space="preserve">= 1 second.</w:t>
            </w:r>
          </w:p>
          <w:bookmarkEnd w:id="35"/>
          <w:bookmarkStart w:id="36" w:name="X94cd44813395d854e5bf2a8eb4b0f74ca08d3c6"/>
          <w:p>
            <w:pPr>
              <w:pStyle w:val="Heading2"/>
            </w:pPr>
            <w:r>
              <w:t xml:space="preserve">1.2 Calculate the Step Response Coefficients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oMath>
          </w:p>
          <w:p>
            <w:pPr>
              <w:pStyle w:val="FirstParagraph"/>
            </w:pPr>
            <w:r>
              <w:t xml:space="preserve">The step response coefficients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oMath>
            <w:r>
              <w:t xml:space="preserve"> </w:t>
            </w:r>
            <w:r>
              <w:t xml:space="preserve">represent the fraction of the process</w:t>
            </w:r>
            <w:r>
              <w:t xml:space="preserve"> </w:t>
            </w:r>
            <w:r>
              <w:t xml:space="preserve">response that occurs in each discrete time interval. The response of the system</w:t>
            </w:r>
            <w:r>
              <w:t xml:space="preserve"> </w:t>
            </w:r>
            <w:r>
              <w:t xml:space="preserve">is delayed by</w:t>
            </w:r>
            <w:r>
              <w:t xml:space="preserve"> </w:t>
            </w:r>
            <m:oMath>
              <m:r>
                <m:t>θ</m:t>
              </m:r>
            </m:oMath>
            <w:r>
              <w:t xml:space="preserve"> </w:t>
            </w:r>
            <w:r>
              <w:t xml:space="preserve">seconds, so no change is observed in the output until</w:t>
            </w:r>
            <w:r>
              <w:t xml:space="preserve"> </w:t>
            </w:r>
            <w:r>
              <w:t xml:space="preserve">after</w:t>
            </w:r>
            <w:r>
              <w:t xml:space="preserve"> </w:t>
            </w:r>
            <m:oMath>
              <m:r>
                <m:t>θ</m:t>
              </m:r>
            </m:oMath>
            <w:r>
              <w:t xml:space="preserve">.</w:t>
            </w:r>
          </w:p>
          <w:p>
            <w:pPr>
              <w:pStyle w:val="BodyText"/>
            </w:pPr>
            <w:r>
              <w:t xml:space="preserve">The response</w:t>
            </w:r>
            <w:r>
              <w:t xml:space="preserve"> </w:t>
            </w:r>
            <m:oMath>
              <m:r>
                <m:t>y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oMath>
            <w:r>
              <w:t xml:space="preserve"> </w:t>
            </w:r>
            <w:r>
              <w:t xml:space="preserve">to the step input for a FOPDT system is: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y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K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p>
                      <m:e>
                        <m: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−</m:t>
                        </m:r>
                        <m:f>
                          <m:fPr>
                            <m:type m:val="bar"/>
                          </m:fPr>
                          <m:num>
                            <m:r>
                              <m:t>t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θ</m:t>
                            </m:r>
                          </m:num>
                          <m:den>
                            <m:r>
                              <m:t>τ</m:t>
                            </m:r>
                          </m:den>
                        </m:f>
                      </m:sup>
                    </m:sSup>
                  </m:e>
                </m:d>
                <m:r>
                  <m:rPr>
                    <m:sty m:val="p"/>
                  </m:rPr>
                  <m:t>,</m:t>
                </m:r>
                <m:r>
                  <m:t> </m:t>
                </m:r>
                <m:r>
                  <m:t>t</m:t>
                </m:r>
                <m:r>
                  <m:rPr>
                    <m:sty m:val="p"/>
                  </m:rPr>
                  <m:t>≥</m:t>
                </m:r>
                <m:r>
                  <m:t>θ</m:t>
                </m:r>
              </m:oMath>
            </m:oMathPara>
          </w:p>
          <w:p>
            <w:pPr>
              <w:pStyle w:val="FirstParagraph"/>
            </w:pPr>
            <w:r>
              <w:t xml:space="preserve">The discrete response coefficients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oMath>
            <w:r>
              <w:t xml:space="preserve"> </w:t>
            </w:r>
            <w:r>
              <w:t xml:space="preserve">are then calculated as: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t>a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t>y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i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y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first few coefficients: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1980"/>
              <w:gridCol w:w="1980"/>
              <w:gridCol w:w="1980"/>
              <w:gridCol w:w="198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left"/>
                  </w:pPr>
                  <m:oMath>
                    <m:r>
                      <m:t>i</m:t>
                    </m:r>
                  </m:oMath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Time (s)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m:oMath>
                    <m:r>
                      <m:t>y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i</m:t>
                        </m:r>
                        <m:sSub>
                          <m:e>
                            <m:r>
                              <m:t>T</m:t>
                            </m:r>
                          </m:e>
                          <m:sub>
                            <m:r>
                              <m:t>s</m:t>
                            </m:r>
                          </m:sub>
                        </m:sSub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left"/>
                  </w:pPr>
                  <m:oMath>
                    <m:sSub>
                      <m:e>
                        <m:r>
                          <m:t>a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m:oMath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f>
                              <m:fPr>
                                <m:type m:val="bar"/>
                              </m:fPr>
                              <m:num>
                                <m:r>
                                  <m:t>1</m:t>
                                </m:r>
                              </m:num>
                              <m:den>
                                <m:r>
                                  <m:t>5</m:t>
                                </m:r>
                              </m:den>
                            </m:f>
                          </m:sup>
                        </m:sSup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0.3625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m:oMath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f>
                              <m:fPr>
                                <m:type m:val="bar"/>
                              </m:fPr>
                              <m:num>
                                <m:r>
                                  <m:t>2</m:t>
                                </m:r>
                              </m:num>
                              <m:den>
                                <m:r>
                                  <m:t>5</m:t>
                                </m:r>
                              </m:den>
                            </m:f>
                          </m:sup>
                        </m:sSup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0.6594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m:oMath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f>
                              <m:fPr>
                                <m:type m:val="bar"/>
                              </m:fPr>
                              <m:num>
                                <m:r>
                                  <m:t>3</m:t>
                                </m:r>
                              </m:num>
                              <m:den>
                                <m:r>
                                  <m:t>5</m:t>
                                </m:r>
                              </m:den>
                            </m:f>
                          </m:sup>
                        </m:sSup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0.9024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</w:pPr>
                  <m:oMath>
                    <m:r>
                      <m:t>2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−</m:t>
                            </m:r>
                            <m:f>
                              <m:fPr>
                                <m:type m:val="bar"/>
                              </m:fPr>
                              <m:num>
                                <m:r>
                                  <m:t>4</m:t>
                                </m:r>
                              </m:num>
                              <m:den>
                                <m:r>
                                  <m:t>5</m:t>
                                </m:r>
                              </m:den>
                            </m:f>
                          </m:sup>
                        </m:sSup>
                      </m:e>
                    </m:d>
                  </m:oMath>
                </w:p>
              </w:tc>
              <w:tc>
                <w:tcPr/>
                <w:p>
                  <w:pPr>
                    <w:pStyle w:val="Compact"/>
                    <w:jc w:val="left"/>
                  </w:pPr>
                  <w:r>
                    <w:t xml:space="preserve">1.1013</w:t>
                  </w:r>
                </w:p>
              </w:tc>
            </w:tr>
          </w:tbl>
          <w:bookmarkEnd w:id="36"/>
          <w:bookmarkStart w:id="39" w:name="construct-the-dtsrm"/>
          <w:p>
            <w:pPr>
              <w:pStyle w:val="Heading2"/>
            </w:pPr>
            <w:r>
              <w:t xml:space="preserve">1.3 Construct the DTSRM</w:t>
            </w:r>
          </w:p>
          <w:p>
            <w:pPr>
              <w:pStyle w:val="FirstParagraph"/>
            </w:pPr>
            <w:r>
              <w:t xml:space="preserve">The DTSRM uses the coefficients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oMath>
            <w:r>
              <w:t xml:space="preserve"> </w:t>
            </w:r>
            <w:r>
              <w:t xml:space="preserve">to predict future outputs based on past</w:t>
            </w:r>
            <w:r>
              <w:t xml:space="preserve"> </w:t>
            </w:r>
            <w:r>
              <w:t xml:space="preserve">input changes: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sSub>
                  <m:e>
                    <m:r>
                      <m:t>y</m:t>
                    </m:r>
                  </m:e>
                  <m:sub>
                    <m:r>
                      <m:t>n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+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nary>
                <m:r>
                  <m:t>Δ</m:t>
                </m:r>
                <m:r>
                  <m:t>u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t</m:t>
                        </m:r>
                      </m:e>
                      <m:sub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i</m:t>
                        </m:r>
                      </m:sub>
                    </m:sSub>
                  </m:e>
                </m:d>
              </m:oMath>
            </m:oMathPara>
          </w:p>
          <w:p>
            <w:pPr>
              <w:pStyle w:val="FirstParagraph"/>
            </w:pPr>
            <w:r>
              <w:t xml:space="preserve">For example,</w:t>
            </w:r>
          </w:p>
          <w:p>
            <w:pPr>
              <w:pStyle w:val="BodyText"/>
            </w:pPr>
            <m:oMathPara>
              <m:oMathParaPr>
                <m:jc m:val="center"/>
              </m:oMathParaPr>
              <m:oMath>
                <m:r>
                  <m:t>y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a</m:t>
                    </m:r>
                  </m:e>
                  <m:sub>
                    <m:r>
                      <m:t>3</m:t>
                    </m:r>
                  </m:sub>
                </m:sSub>
                <m:r>
                  <m:t>Δ</m:t>
                </m:r>
                <m:r>
                  <m:t>u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a</m:t>
                    </m:r>
                  </m:e>
                  <m:sub>
                    <m:r>
                      <m:t>2</m:t>
                    </m:r>
                  </m:sub>
                </m:sSub>
                <m:r>
                  <m:t>Δ</m:t>
                </m:r>
                <m:r>
                  <m:t>u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a</m:t>
                    </m:r>
                  </m:e>
                  <m:sub>
                    <m:r>
                      <m:t>1</m:t>
                    </m:r>
                  </m:sub>
                </m:sSub>
                <m:r>
                  <m:t>Δ</m:t>
                </m:r>
                <m:r>
                  <m:t>u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3</m:t>
                    </m:r>
                  </m:e>
                </m:d>
              </m:oMath>
            </m:oMathPara>
          </w:p>
          <w:p>
            <w:pPr>
              <w:pStyle w:val="FirstParagraph"/>
            </w:pPr>
            <w:pPr>
              <w:spacing w:after="16"/>
            </w:pPr>
            <w:r>
              <w:t xml:space="preserve">The code for calculating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oMath>
            <w:r>
              <w:t xml:space="preserve"> </w:t>
            </w:r>
            <w:r>
              <w:t xml:space="preserve">is given in</w:t>
            </w:r>
            <w:r>
              <w:t xml:space="preserve"> </w:t>
            </w:r>
            <w:hyperlink r:id="rId37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38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</w:tc>
      </w:tr>
    </w:tbl>
    <w:bookmarkEnd w:id="39"/>
    <w:p>
      <w:pPr>
        <w:pStyle w:val="Compact"/>
        <w:numPr>
          <w:ilvl w:val="0"/>
          <w:numId w:val="1004"/>
        </w:numPr>
      </w:pPr>
      <w:r>
        <w:t xml:space="preserve">Second-Order Plus Dead-Time (SOPDT) Model to DTSRM</w:t>
      </w:r>
    </w:p>
    <w:p>
      <w:pPr>
        <w:pStyle w:val="FirstParagraph"/>
      </w:pPr>
      <w:r>
        <w:t xml:space="preserve">For the following transfer function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G</m:t>
              </m:r>
            </m:e>
            <m:sub>
              <m:r>
                <m:t>p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K</m:t>
              </m:r>
            </m:num>
            <m:den>
              <m:sSub>
                <m:e>
                  <m:r>
                    <m:t>τ</m:t>
                  </m:r>
                </m:e>
                <m:sub>
                  <m:r>
                    <m:t>1</m:t>
                  </m:r>
                </m:sub>
              </m:sSub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rPr>
              <m:sty m:val="p"/>
            </m:rPr>
            <m:t>⋅</m:t>
          </m:r>
          <m:f>
            <m:fPr>
              <m:type m:val="bar"/>
            </m:fPr>
            <m:num>
              <m:r>
                <m:t>1</m:t>
              </m:r>
            </m:num>
            <m:den>
              <m:sSub>
                <m:e>
                  <m:r>
                    <m:t>τ</m:t>
                  </m:r>
                </m:e>
                <m:sub>
                  <m:r>
                    <m:t>2</m:t>
                  </m:r>
                </m:sub>
              </m:sSub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θ</m:t>
              </m:r>
              <m:r>
                <m:t>s</m:t>
              </m:r>
            </m:sup>
          </m:sSup>
        </m:oMath>
      </m:oMathPara>
    </w:p>
    <w:p>
      <w:pPr>
        <w:pStyle w:val="FirstParagraph"/>
      </w:pPr>
      <w:r>
        <w:t xml:space="preserve">develop DTSRM.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0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4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calculating</w:t>
            </w:r>
            <w:r>
              <w:t xml:space="preserve"> </w:t>
            </w:r>
            <m:oMath>
              <m:sSub>
                <m:e>
                  <m:r>
                    <m:t>a</m:t>
                  </m:r>
                </m:e>
                <m:sub>
                  <m:r>
                    <m:t>i</m:t>
                  </m:r>
                </m:sub>
              </m:sSub>
            </m:oMath>
            <w:r>
              <w:t xml:space="preserve"> </w:t>
            </w:r>
            <w:r>
              <w:t xml:space="preserve">is given in</w:t>
            </w:r>
            <w:r>
              <w:t xml:space="preserve"> </w:t>
            </w:r>
            <w:hyperlink r:id="rId42">
              <w:r>
                <w:rPr>
                  <w:rStyle w:val="Hyperlink"/>
                </w:rPr>
                <w:t xml:space="preserve">Matlab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 xml:space="preserve">file</w:t>
              </w:r>
            </w:hyperlink>
            <w:r>
              <w:t xml:space="preserve">/</w:t>
            </w:r>
            <w:r>
              <w:t xml:space="preserve"> </w:t>
            </w:r>
            <w:hyperlink r:id="rId43">
              <w:r>
                <w:rPr>
                  <w:rStyle w:val="Hyperlink"/>
                </w:rPr>
                <w:t xml:space="preserve">mlx file</w:t>
              </w:r>
            </w:hyperlink>
            <w:r>
              <w:t xml:space="preserve">.</w:t>
            </w:r>
          </w:p>
        </w:tc>
      </w:tr>
    </w:tbl>
    <w:bookmarkEnd w:id="44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480"/>
      </w:pPr>
    </w:lvl>
    <w:lvl w:ilvl="1">
      <w:start w:val="4"/>
      <w:numFmt w:val="decimal"/>
      <w:lvlText w:val="%2."/>
      <w:lvlJc w:val="left"/>
      <w:pPr>
        <w:ind w:left="1440" w:hanging="480"/>
      </w:pPr>
    </w:lvl>
    <w:lvl w:ilvl="2">
      <w:start w:val="4"/>
      <w:numFmt w:val="decimal"/>
      <w:lvlText w:val="%3."/>
      <w:lvlJc w:val="left"/>
      <w:pPr>
        <w:ind w:left="2160" w:hanging="480"/>
      </w:pPr>
    </w:lvl>
    <w:lvl w:ilvl="3">
      <w:start w:val="4"/>
      <w:numFmt w:val="decimal"/>
      <w:lvlText w:val="%4."/>
      <w:lvlJc w:val="left"/>
      <w:pPr>
        <w:ind w:left="2880" w:hanging="480"/>
      </w:pPr>
    </w:lvl>
    <w:lvl w:ilvl="4">
      <w:start w:val="4"/>
      <w:numFmt w:val="decimal"/>
      <w:lvlText w:val="%5."/>
      <w:lvlJc w:val="left"/>
      <w:pPr>
        <w:ind w:left="3600" w:hanging="480"/>
      </w:pPr>
    </w:lvl>
    <w:lvl w:ilvl="5">
      <w:start w:val="4"/>
      <w:numFmt w:val="decimal"/>
      <w:lvlText w:val="%6."/>
      <w:lvlJc w:val="left"/>
      <w:pPr>
        <w:ind w:left="4320" w:hanging="480"/>
      </w:pPr>
    </w:lvl>
    <w:lvl w:ilvl="6">
      <w:start w:val="4"/>
      <w:numFmt w:val="decimal"/>
      <w:lvlText w:val="%7."/>
      <w:lvlJc w:val="left"/>
      <w:pPr>
        <w:ind w:left="5040" w:hanging="480"/>
      </w:pPr>
    </w:lvl>
    <w:lvl w:ilvl="7">
      <w:start w:val="4"/>
      <w:numFmt w:val="decimal"/>
      <w:lvlText w:val="%8."/>
      <w:lvlJc w:val="left"/>
      <w:pPr>
        <w:ind w:left="5760" w:hanging="480"/>
      </w:pPr>
    </w:lvl>
    <w:lvl w:ilvl="8">
      <w:start w:val="4"/>
      <w:numFmt w:val="decimal"/>
      <w:lvlText w:val="%9."/>
      <w:lvlJc w:val="left"/>
      <w:pPr>
        <w:ind w:left="6480" w:hanging="48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480"/>
      </w:pPr>
    </w:lvl>
    <w:lvl w:ilvl="1">
      <w:start w:val="5"/>
      <w:numFmt w:val="decimal"/>
      <w:lvlText w:val="%2."/>
      <w:lvlJc w:val="left"/>
      <w:pPr>
        <w:ind w:left="1440" w:hanging="480"/>
      </w:pPr>
    </w:lvl>
    <w:lvl w:ilvl="2">
      <w:start w:val="5"/>
      <w:numFmt w:val="decimal"/>
      <w:lvlText w:val="%3."/>
      <w:lvlJc w:val="left"/>
      <w:pPr>
        <w:ind w:left="2160" w:hanging="480"/>
      </w:pPr>
    </w:lvl>
    <w:lvl w:ilvl="3">
      <w:start w:val="5"/>
      <w:numFmt w:val="decimal"/>
      <w:lvlText w:val="%4."/>
      <w:lvlJc w:val="left"/>
      <w:pPr>
        <w:ind w:left="2880" w:hanging="480"/>
      </w:pPr>
    </w:lvl>
    <w:lvl w:ilvl="4">
      <w:start w:val="5"/>
      <w:numFmt w:val="decimal"/>
      <w:lvlText w:val="%5."/>
      <w:lvlJc w:val="left"/>
      <w:pPr>
        <w:ind w:left="3600" w:hanging="480"/>
      </w:pPr>
    </w:lvl>
    <w:lvl w:ilvl="5">
      <w:start w:val="5"/>
      <w:numFmt w:val="decimal"/>
      <w:lvlText w:val="%6."/>
      <w:lvlJc w:val="left"/>
      <w:pPr>
        <w:ind w:left="4320" w:hanging="480"/>
      </w:pPr>
    </w:lvl>
    <w:lvl w:ilvl="6">
      <w:start w:val="5"/>
      <w:numFmt w:val="decimal"/>
      <w:lvlText w:val="%7."/>
      <w:lvlJc w:val="left"/>
      <w:pPr>
        <w:ind w:left="5040" w:hanging="480"/>
      </w:pPr>
    </w:lvl>
    <w:lvl w:ilvl="7">
      <w:start w:val="5"/>
      <w:numFmt w:val="decimal"/>
      <w:lvlText w:val="%8."/>
      <w:lvlJc w:val="left"/>
      <w:pPr>
        <w:ind w:left="5760" w:hanging="480"/>
      </w:pPr>
    </w:lvl>
    <w:lvl w:ilvl="8">
      <w:start w:val="5"/>
      <w:numFmt w:val="decimal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3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4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1" Target="media/rId21.png" /><Relationship Type="http://schemas.openxmlformats.org/officeDocument/2006/relationships/hyperlink" Id="rId24" Target="./decoupler_for_multivariable_system.m" TargetMode="External" /><Relationship Type="http://schemas.openxmlformats.org/officeDocument/2006/relationships/hyperlink" Id="rId25" Target="./decoupler_for_multivariable_system.mlx" TargetMode="External" /><Relationship Type="http://schemas.openxmlformats.org/officeDocument/2006/relationships/hyperlink" Id="rId31" Target="./discrete_time_response.csv" TargetMode="External" /><Relationship Type="http://schemas.openxmlformats.org/officeDocument/2006/relationships/hyperlink" Id="rId29" Target="./discrete_timestep_response_model.m" TargetMode="External" /><Relationship Type="http://schemas.openxmlformats.org/officeDocument/2006/relationships/hyperlink" Id="rId30" Target="./discrete_timestep_response_model.mlx" TargetMode="External" /><Relationship Type="http://schemas.openxmlformats.org/officeDocument/2006/relationships/hyperlink" Id="rId37" Target="./dtsrm_from_fopdt.m" TargetMode="External" /><Relationship Type="http://schemas.openxmlformats.org/officeDocument/2006/relationships/hyperlink" Id="rId38" Target="./dtsrm_from_fopdt.mlx" TargetMode="External" /><Relationship Type="http://schemas.openxmlformats.org/officeDocument/2006/relationships/hyperlink" Id="rId42" Target="./dtsrm_from_sopdt.m" TargetMode="External" /><Relationship Type="http://schemas.openxmlformats.org/officeDocument/2006/relationships/hyperlink" Id="rId43" Target="./dtsrm_from_sopdt.ml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./decoupler_for_multivariable_system.m" TargetMode="External" /><Relationship Type="http://schemas.openxmlformats.org/officeDocument/2006/relationships/hyperlink" Id="rId25" Target="./decoupler_for_multivariable_system.mlx" TargetMode="External" /><Relationship Type="http://schemas.openxmlformats.org/officeDocument/2006/relationships/hyperlink" Id="rId31" Target="./discrete_time_response.csv" TargetMode="External" /><Relationship Type="http://schemas.openxmlformats.org/officeDocument/2006/relationships/hyperlink" Id="rId29" Target="./discrete_timestep_response_model.m" TargetMode="External" /><Relationship Type="http://schemas.openxmlformats.org/officeDocument/2006/relationships/hyperlink" Id="rId30" Target="./discrete_timestep_response_model.mlx" TargetMode="External" /><Relationship Type="http://schemas.openxmlformats.org/officeDocument/2006/relationships/hyperlink" Id="rId37" Target="./dtsrm_from_fopdt.m" TargetMode="External" /><Relationship Type="http://schemas.openxmlformats.org/officeDocument/2006/relationships/hyperlink" Id="rId38" Target="./dtsrm_from_fopdt.mlx" TargetMode="External" /><Relationship Type="http://schemas.openxmlformats.org/officeDocument/2006/relationships/hyperlink" Id="rId42" Target="./dtsrm_from_sopdt.m" TargetMode="External" /><Relationship Type="http://schemas.openxmlformats.org/officeDocument/2006/relationships/hyperlink" Id="rId43" Target="./dtsrm_from_sopdt.ml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Multivariable Centralized Control and MPC</dc:title>
  <dc:creator>Ranjeet Utikar</dc:creator>
  <cp:keywords/>
  <dcterms:created xsi:type="dcterms:W3CDTF">2024-10-06T22:53:51Z</dcterms:created>
  <dcterms:modified xsi:type="dcterms:W3CDTF">2024-10-06T22:53:51Z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2023-10-02</vt:lpwstr>
  </property>
  <property fmtid="{D5CDD505-2E9C-101B-9397-08002B2CF9AE}" pid="9" name="date-modified">
    <vt:lpwstr>2024-09-30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resources">
    <vt:lpwstr/>
  </property>
  <property fmtid="{D5CDD505-2E9C-101B-9397-08002B2CF9AE}" pid="19" name="subtitle">
    <vt:lpwstr>In class activities</vt:lpwstr>
  </property>
  <property fmtid="{D5CDD505-2E9C-101B-9397-08002B2CF9AE}" pid="20" name="toc-title">
    <vt:lpwstr>Table of contents</vt:lpwstr>
  </property>
</Properties>
</file>