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3.png" ContentType="image/png"/>
  <Override PartName="/word/media/rId3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Cascade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2023-08-13</w:t>
      </w:r>
    </w:p>
    <w:bookmarkStart w:id="38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Effect of delay time on controller tuning</w:t>
      </w:r>
    </w:p>
    <w:p>
      <w:pPr>
        <w:numPr>
          <w:ilvl w:val="0"/>
          <w:numId w:val="1000"/>
        </w:numPr>
      </w:pPr>
      <w:r>
        <w:t xml:space="preserve">Consider a process with following transfer function</w:t>
      </w:r>
    </w:p>
    <w:p>
      <w:pPr>
        <w:pStyle w:val="BodyText"/>
      </w:pPr>
      <w:bookmarkStart w:id="20" w:name="eq-p1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0"/>
    </w:p>
    <w:p>
      <w:pPr>
        <w:numPr>
          <w:ilvl w:val="0"/>
          <w:numId w:val="1000"/>
        </w:numPr>
      </w:pPr>
      <w:r>
        <w:t xml:space="preserve">The PI controller for this process has parameters of K</w:t>
      </w:r>
      <w:r>
        <w:rPr>
          <w:vertAlign w:val="subscript"/>
        </w:rPr>
        <w:t xml:space="preserve">c</w:t>
      </w:r>
      <w:r>
        <w:t xml:space="preserve"> </w:t>
      </w:r>
      <w:r>
        <w:t xml:space="preserve">= 3, and τ</w:t>
      </w:r>
      <w:r>
        <w:rPr>
          <w:vertAlign w:val="subscript"/>
        </w:rPr>
        <w:t xml:space="preserve">I</w:t>
      </w:r>
      <w:r>
        <w:t xml:space="preserve"> </w:t>
      </w:r>
      <w:r>
        <w:t xml:space="preserve">= 6.</w:t>
      </w:r>
    </w:p>
    <w:p>
      <w:pPr>
        <w:numPr>
          <w:ilvl w:val="0"/>
          <w:numId w:val="1000"/>
        </w:numPr>
      </w:pPr>
      <w:r>
        <w:t xml:space="preserve">What happens to the response when a dead time of θ = 2 is introduced?</w:t>
      </w:r>
    </w:p>
    <w:p>
      <w:pPr>
        <w:numPr>
          <w:ilvl w:val="0"/>
          <w:numId w:val="1000"/>
        </w:numPr>
      </w:pPr>
      <w:r>
        <w:t xml:space="preserve">Determine controller parameters to obtain an overshoot similar to the</w:t>
      </w:r>
      <w:r>
        <w:t xml:space="preserve"> </w:t>
      </w:r>
      <w:r>
        <w:t xml:space="preserve">process without delay.</w:t>
      </w:r>
    </w:p>
    <w:p>
      <w:pPr>
        <w:numPr>
          <w:ilvl w:val="0"/>
          <w:numId w:val="1001"/>
        </w:numPr>
      </w:pPr>
      <w:r>
        <w:t xml:space="preserve">Design a Smith predictor for problem 1.</w:t>
      </w:r>
    </w:p>
    <w:p>
      <w:pPr>
        <w:numPr>
          <w:ilvl w:val="0"/>
          <w:numId w:val="1001"/>
        </w:numPr>
      </w:pPr>
      <w:r>
        <w:t xml:space="preserve">It is desired to control the size distribution of crystals produced in</w:t>
      </w:r>
      <w:r>
        <w:t xml:space="preserve"> </w:t>
      </w:r>
      <w:r>
        <w:t xml:space="preserve">vacuum continuous crystallizer, but it’s very difficult to measure i.e.</w:t>
      </w:r>
      <w:r>
        <w:t xml:space="preserve"> </w:t>
      </w:r>
      <w:r>
        <w:t xml:space="preserve">requires lengthy lab test. Some experiment suggest that crystal size</w:t>
      </w:r>
      <w:r>
        <w:t xml:space="preserve"> </w:t>
      </w:r>
      <w:r>
        <w:t xml:space="preserve">distribution are strongly related to the (1) stirrer speed q, (2) magma</w:t>
      </w:r>
      <w:r>
        <w:t xml:space="preserve"> </w:t>
      </w:r>
      <w:r>
        <w:t xml:space="preserve">temperature T, (3) degree of supersaturation C-Cs, and (4) mother liquor</w:t>
      </w:r>
      <w:r>
        <w:t xml:space="preserve"> </w:t>
      </w:r>
      <w:r>
        <w:t xml:space="preserve">density r. C is concentration of the solute and Cs is the solubility of the</w:t>
      </w:r>
      <w:r>
        <w:t xml:space="preserve"> </w:t>
      </w:r>
      <w:r>
        <w:t xml:space="preserve">solute.</w:t>
      </w:r>
    </w:p>
    <w:p>
      <w:pPr>
        <w:pStyle w:val="Compact"/>
        <w:numPr>
          <w:ilvl w:val="1"/>
          <w:numId w:val="1002"/>
        </w:numPr>
      </w:pPr>
      <w:r>
        <w:t xml:space="preserve">Suggest an inferential control technique for crystal size distribution</w:t>
      </w:r>
    </w:p>
    <w:p>
      <w:pPr>
        <w:pStyle w:val="Compact"/>
        <w:numPr>
          <w:ilvl w:val="1"/>
          <w:numId w:val="1002"/>
        </w:numPr>
      </w:pPr>
      <w:r>
        <w:t xml:space="preserve">Show the schematic of the control strategy. Comment on the effectiveness</w:t>
      </w:r>
      <w:r>
        <w:t xml:space="preserve"> </w:t>
      </w:r>
      <w:r>
        <w:t xml:space="preserve">of the strategy.</w:t>
      </w:r>
    </w:p>
    <w:p>
      <w:pPr>
        <w:numPr>
          <w:ilvl w:val="0"/>
          <w:numId w:val="1001"/>
        </w:numPr>
      </w:pPr>
      <w:r>
        <w:t xml:space="preserve">Consider two inferential model for the prediction of distillation top</w:t>
      </w:r>
      <w:r>
        <w:t xml:space="preserve"> </w:t>
      </w:r>
      <w:r>
        <w:t xml:space="preserve">impurity fraction xD and a tray temperature T as follows: Reduction in the</w:t>
      </w:r>
      <w:r>
        <w:t xml:space="preserve"> </w:t>
      </w:r>
      <w:r>
        <w:t xml:space="preserve">heavy key fraction in the feed by 10%:</w:t>
      </w:r>
    </w:p>
    <w:p>
      <w:pPr>
        <w:pStyle w:val="BodyText"/>
      </w:pPr>
      <w:bookmarkStart w:id="21" w:name="eq-p31"/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r>
            <m:t>60</m:t>
          </m:r>
          <m:r>
            <m:rPr>
              <m:sty m:val="p"/>
            </m:rPr>
            <m:t>+</m:t>
          </m:r>
          <m:r>
            <m:t>9.5</m:t>
          </m:r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;</m:t>
          </m:r>
          <m:r>
            <m:t>0</m:t>
          </m:r>
          <m:r>
            <m:rPr>
              <m:sty m:val="p"/>
            </m:rPr>
            <m:t>≤</m:t>
          </m:r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≤</m:t>
          </m:r>
          <m:r>
            <m:t>0.1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1"/>
    </w:p>
    <w:p>
      <w:pPr>
        <w:numPr>
          <w:ilvl w:val="0"/>
          <w:numId w:val="1000"/>
        </w:numPr>
      </w:pPr>
      <w:r>
        <w:t xml:space="preserve">Increase in the heavy key fraction in the feed by 10%:</w:t>
      </w:r>
    </w:p>
    <w:p>
      <w:pPr>
        <w:pStyle w:val="BodyText"/>
      </w:pPr>
      <w:bookmarkStart w:id="22" w:name="eq-p32"/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r>
            <m:t>60.1</m:t>
          </m:r>
          <m:r>
            <m:rPr>
              <m:sty m:val="p"/>
            </m:rPr>
            <m:t>+</m:t>
          </m:r>
          <m:r>
            <m:t>11.8</m:t>
          </m:r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;</m:t>
          </m:r>
          <m:r>
            <m:t>0</m:t>
          </m:r>
          <m:r>
            <m:rPr>
              <m:sty m:val="p"/>
            </m:rPr>
            <m:t>≤</m:t>
          </m:r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≤</m:t>
          </m:r>
          <m:r>
            <m:t>0.1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2"/>
    </w:p>
    <w:p>
      <w:pPr>
        <w:numPr>
          <w:ilvl w:val="0"/>
          <w:numId w:val="1000"/>
        </w:numPr>
      </w:pPr>
      <w:r>
        <w:t xml:space="preserve">To ensure that that the impurity in the distillate remains within 5%, what</w:t>
      </w:r>
      <w:r>
        <w:t xml:space="preserve"> </w:t>
      </w:r>
      <w:r>
        <w:t xml:space="preserve">would be the setpoint to the inferential tray temperature controller?</w:t>
      </w:r>
      <w:r>
        <w:t xml:space="preserve"> </w:t>
      </w:r>
      <w:r>
        <w:t xml:space="preserve">Explain how you would determine the appropriate setpoint value.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Gain Scheduling</w:t>
      </w:r>
      <w:r>
        <w:t xml:space="preserve">:</w:t>
      </w:r>
      <w:r>
        <w:t xml:space="preserve"> </w:t>
      </w:r>
      <w:r>
        <w:t xml:space="preserve">For the furnace shown in</w:t>
      </w:r>
      <w:r>
        <w:t xml:space="preserve"> </w:t>
      </w:r>
      <w:hyperlink w:anchor="fig-furnace">
        <w:r>
          <w:rPr>
            <w:rStyle w:val="Hyperlink"/>
          </w:rPr>
          <w:t xml:space="preserve">Figure 1</w:t>
        </w:r>
      </w:hyperlink>
      <w:r>
        <w:t xml:space="preserve">, show a schematic control strategy</w:t>
      </w:r>
      <w:r>
        <w:t xml:space="preserve"> </w:t>
      </w:r>
      <w:r>
        <w:t xml:space="preserve">with gain scheduling. What variable can you use for gain scheduling? Give your reasons.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6" w:name="fig-furnace"/>
          <w:p>
            <w:pPr>
              <w:pStyle w:val="Compact"/>
              <w:jc w:val="center"/>
            </w:pPr>
            <w:r>
              <w:drawing>
                <wp:inline>
                  <wp:extent cx="4917575" cy="3247802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cascade-control-in-class-furnace-temperature-control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575" cy="324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Furnace</w:t>
            </w:r>
          </w:p>
          <w:bookmarkEnd w:id="26"/>
        </w:tc>
      </w:tr>
    </w:tbl>
    <w:p>
      <w:pPr>
        <w:numPr>
          <w:ilvl w:val="0"/>
          <w:numId w:val="1003"/>
        </w:numPr>
      </w:pPr>
      <w:r>
        <w:t xml:space="preserve">A cold process fluid is heated up in a shell-and-tube heat exchanger using</w:t>
      </w:r>
      <w:r>
        <w:t xml:space="preserve"> </w:t>
      </w:r>
      <w:r>
        <w:t xml:space="preserve">steam. At the nominal process feed flow rate, the transfer function of the</w:t>
      </w:r>
      <w:r>
        <w:t xml:space="preserve"> </w:t>
      </w:r>
      <w:r>
        <w:t xml:space="preserve">exit temperature of the process fluid is given as follows:</w:t>
      </w:r>
    </w:p>
    <w:p>
      <w:pPr>
        <w:pStyle w:val="BodyText"/>
      </w:pPr>
      <w:bookmarkStart w:id="27" w:name="eq-p5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e</m:t>
              </m:r>
              <m:r>
                <m:t>x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27"/>
    </w:p>
    <w:p>
      <w:pPr>
        <w:numPr>
          <w:ilvl w:val="0"/>
          <w:numId w:val="1000"/>
        </w:numPr>
      </w:pPr>
      <w:r>
        <w:t xml:space="preserve">It has been found that the process gain is strongly related to the process</w:t>
      </w:r>
      <w:r>
        <w:t xml:space="preserve"> </w:t>
      </w:r>
      <w:r>
        <w:t xml:space="preserve">fluid flow rate given as follows:</w:t>
      </w:r>
    </w:p>
    <w:p>
      <w:pPr>
        <w:pStyle w:val="BodyText"/>
      </w:pPr>
      <w:bookmarkStart w:id="28" w:name="eq-p52"/>
      <m:oMathPara>
        <m:oMathParaPr>
          <m:jc m:val="center"/>
        </m:oMathParaPr>
        <m:oMath>
          <m:sSub>
            <m:e>
              <m:r>
                <m:t>K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r>
            <m:t>0.5</m:t>
          </m:r>
          <m:r>
            <m:t>Δ</m:t>
          </m:r>
          <m:sSub>
            <m:e>
              <m:r>
                <m:t>F</m:t>
              </m:r>
            </m:e>
            <m:sub>
              <m:r>
                <m:t>p</m:t>
              </m:r>
            </m:sub>
          </m:sSub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28"/>
    </w:p>
    <w:p>
      <w:pPr>
        <w:numPr>
          <w:ilvl w:val="0"/>
          <w:numId w:val="1000"/>
        </w:numPr>
      </w:pPr>
      <w:r>
        <w:t xml:space="preserve">Where, ΔF</w:t>
      </w:r>
      <w:r>
        <w:rPr>
          <w:vertAlign w:val="subscript"/>
        </w:rPr>
        <w:t xml:space="preserve">p</w:t>
      </w:r>
      <w:r>
        <w:t xml:space="preserve"> </w:t>
      </w:r>
      <w:r>
        <w:t xml:space="preserve">denotes the change of process fluid flow rate from its nominal</w:t>
      </w:r>
      <w:r>
        <w:t xml:space="preserve"> </w:t>
      </w:r>
      <w:r>
        <w:t xml:space="preserve">value, i.e.,</w:t>
      </w:r>
      <w:r>
        <w:t xml:space="preserve"> </w:t>
      </w:r>
      <m:oMath>
        <m:r>
          <m:t>Δ</m:t>
        </m:r>
        <m:sSub>
          <m:e>
            <m:r>
              <m:t>F</m:t>
            </m:r>
          </m:e>
          <m:sub>
            <m:r>
              <m:t>p</m:t>
            </m:r>
          </m:sub>
        </m:sSub>
        <m:r>
          <m:rPr>
            <m:sty m:val="p"/>
          </m:rPr>
          <m:t>=</m:t>
        </m:r>
        <m:sSub>
          <m:e>
            <m:r>
              <m:t>F</m:t>
            </m:r>
          </m:e>
          <m:sub>
            <m:r>
              <m:t>p</m:t>
            </m:r>
          </m:sub>
        </m:sSub>
        <m:r>
          <m:rPr>
            <m:sty m:val="p"/>
          </m:rPr>
          <m:t>−</m:t>
        </m:r>
        <m:sSub>
          <m:e>
            <m:acc>
              <m:accPr>
                <m:chr m:val="‾"/>
              </m:accPr>
              <m:e>
                <m:r>
                  <m:t>F</m:t>
                </m:r>
              </m:e>
            </m:acc>
          </m:e>
          <m:sub>
            <m:r>
              <m:t>p</m:t>
            </m:r>
          </m:sub>
        </m:sSub>
      </m:oMath>
      <w:r>
        <w:t xml:space="preserve"> </w:t>
      </w:r>
      <w:r>
        <w:t xml:space="preserve">where</w:t>
      </w:r>
      <w:r>
        <w:t xml:space="preserve"> </w:t>
      </w:r>
      <m:oMath>
        <m:sSub>
          <m:e>
            <m:r>
              <m:t>F</m:t>
            </m:r>
          </m:e>
          <m:sub>
            <m:r>
              <m:t>p</m:t>
            </m:r>
          </m:sub>
        </m:sSub>
      </m:oMath>
      <w:r>
        <w:t xml:space="preserve"> </w:t>
      </w:r>
      <w:r>
        <w:t xml:space="preserve">is the current value</w:t>
      </w:r>
      <w:r>
        <w:t xml:space="preserve"> </w:t>
      </w:r>
      <w:r>
        <w:t xml:space="preserve">of process fluid flow rate and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F</m:t>
                </m:r>
              </m:e>
            </m:acc>
          </m:e>
          <m:sub>
            <m:r>
              <m:t>p</m:t>
            </m:r>
          </m:sub>
        </m:sSub>
      </m:oMath>
      <w:r>
        <w:t xml:space="preserve"> </w:t>
      </w:r>
      <w:r>
        <w:t xml:space="preserve">the nominal value (steady-state)</w:t>
      </w:r>
      <w:r>
        <w:t xml:space="preserve"> </w:t>
      </w:r>
      <w:r>
        <w:t xml:space="preserve">of the process fluid flow rate.</w:t>
      </w:r>
    </w:p>
    <w:p>
      <w:pPr>
        <w:numPr>
          <w:ilvl w:val="0"/>
          <w:numId w:val="1000"/>
        </w:numPr>
      </w:pPr>
      <w:r>
        <w:t xml:space="preserve">An ideal PI controller is given by</w:t>
      </w:r>
    </w:p>
    <w:p>
      <w:pPr>
        <w:pStyle w:val="BodyText"/>
      </w:pPr>
      <w:bookmarkStart w:id="29" w:name="eq-p53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c</m:t>
              </m:r>
            </m:sub>
          </m:sSub>
          <m:r>
            <m:rPr>
              <m:sty m:val="p"/>
            </m:rPr>
            <m:t>=</m:t>
          </m:r>
          <m:sSub>
            <m:e>
              <m:r>
                <m:t>K</m:t>
              </m:r>
            </m:e>
            <m:sub>
              <m:r>
                <m:t>c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b>
                    <m:e>
                      <m:r>
                        <m:t>τ</m:t>
                      </m:r>
                    </m:e>
                    <m:sub>
                      <m:r>
                        <m:t>I</m:t>
                      </m:r>
                    </m:sub>
                  </m:sSub>
                  <m:r>
                    <m:t>s</m:t>
                  </m:r>
                </m:den>
              </m:f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29"/>
    </w:p>
    <w:p>
      <w:pPr>
        <w:numPr>
          <w:ilvl w:val="0"/>
          <w:numId w:val="1000"/>
        </w:numPr>
      </w:pPr>
      <w:r>
        <w:t xml:space="preserve">Based on the PI controller tuning via the stability-based formula,</w:t>
      </w:r>
    </w:p>
    <w:p>
      <w:pPr>
        <w:pStyle w:val="BodyText"/>
      </w:pPr>
      <w:bookmarkStart w:id="30" w:name="eq-p54"/>
      <m:oMathPara>
        <m:oMathParaPr>
          <m:jc m:val="center"/>
        </m:oMathParaPr>
        <m:oMath>
          <m:sSub>
            <m:e>
              <m:r>
                <m:t>K</m:t>
              </m:r>
            </m:e>
            <m:sub>
              <m:r>
                <m:t>c</m:t>
              </m:r>
            </m:sub>
          </m:sSub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sSub>
                    <m:e>
                      <m:r>
                        <m:t>r</m:t>
                      </m:r>
                    </m:e>
                    <m:sub>
                      <m:r>
                        <m:t>p</m:t>
                      </m:r>
                    </m:sub>
                  </m:sSub>
                </m:num>
                <m:den>
                  <m:sSub>
                    <m:e>
                      <m:r>
                        <m:t>K</m:t>
                      </m:r>
                    </m:e>
                    <m:sub>
                      <m:r>
                        <m:t>p</m:t>
                      </m:r>
                    </m:sub>
                  </m:sSub>
                </m:den>
              </m:f>
            </m:e>
          </m:d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sSub>
                    <m:e>
                      <m:r>
                        <m:t>τ</m:t>
                      </m:r>
                    </m:e>
                    <m:sub>
                      <m:r>
                        <m:t>p</m:t>
                      </m:r>
                    </m:sub>
                  </m:sSub>
                </m:num>
                <m:den>
                  <m:sSub>
                    <m:e>
                      <m:r>
                        <m:t>θ</m:t>
                      </m:r>
                    </m:e>
                    <m:sub>
                      <m:r>
                        <m:t>p</m:t>
                      </m:r>
                    </m:sub>
                  </m:sSub>
                </m:den>
              </m:f>
            </m:e>
          </m:d>
          <m:r>
            <m:rPr>
              <m:sty m:val="p"/>
            </m:rPr>
            <m:t>;</m:t>
          </m:r>
          <m:r>
            <m:t>0</m:t>
          </m:r>
          <m:r>
            <m:rPr>
              <m:sty m:val="p"/>
            </m:rPr>
            <m:t>&lt;</m:t>
          </m:r>
          <m:sSub>
            <m:e>
              <m:r>
                <m:t>r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&lt;</m:t>
          </m:r>
          <m:r>
            <m:t>1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30"/>
    </w:p>
    <w:p>
      <w:pPr>
        <w:numPr>
          <w:ilvl w:val="0"/>
          <w:numId w:val="1000"/>
        </w:numPr>
      </w:pPr>
      <w:r>
        <w:t xml:space="preserve">and</w:t>
      </w:r>
    </w:p>
    <w:p>
      <w:pPr>
        <w:pStyle w:val="BodyText"/>
      </w:pPr>
      <w:bookmarkStart w:id="31" w:name="eq-p55"/>
      <m:oMathPara>
        <m:oMathParaPr>
          <m:jc m:val="center"/>
        </m:oMathParaPr>
        <m:oMath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τ</m:t>
              </m:r>
            </m:e>
            <m:sub>
              <m:r>
                <m:t>p</m:t>
              </m:r>
            </m:sub>
          </m:sSub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31"/>
    </w:p>
    <w:p>
      <w:pPr>
        <w:numPr>
          <w:ilvl w:val="0"/>
          <w:numId w:val="1000"/>
        </w:numPr>
      </w:pPr>
      <w:r>
        <w:t xml:space="preserve">Assume the baseline or nominal value of the process fluid flow rate 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F</m:t>
                </m:r>
              </m:e>
            </m:acc>
          </m:e>
          <m:sub>
            <m:r>
              <m:t>p</m:t>
            </m:r>
          </m:sub>
        </m:sSub>
        <m:r>
          <m:rPr>
            <m:sty m:val="p"/>
          </m:rPr>
          <m:t>=</m:t>
        </m:r>
        <m:r>
          <m:t>2</m:t>
        </m:r>
      </m:oMath>
      <w:r>
        <w:t xml:space="preserve">, calculate the values in</w:t>
      </w:r>
      <w:r>
        <w:t xml:space="preserve"> </w:t>
      </w:r>
      <w:hyperlink w:anchor="tbl-p5">
        <w:r>
          <w:rPr>
            <w:rStyle w:val="Hyperlink"/>
          </w:rPr>
          <w:t xml:space="preserve">Table 1</w:t>
        </w:r>
      </w:hyperlink>
      <w:r>
        <w:t xml:space="preserve">.</w:t>
      </w:r>
    </w:p>
    <w:tbl>
      <w:tblPr>
        <w:tblStyle w:val="Table"/>
        <w:tblW w:type="pct" w:w="5000"/>
        <w:jc w:val="left"/>
        <w:tblInd w:w="720" w:type="dxa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2" w:name="tbl-p5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Tuning parameters for problem 5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</w:t>
                  </w:r>
                  <w:r>
                    <w:rPr>
                      <w:vertAlign w:val="subscript"/>
                    </w:rPr>
                    <w:t xml:space="preserve">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K</w:t>
                  </w:r>
                  <w:r>
                    <w:rPr>
                      <w:vertAlign w:val="subscript"/>
                    </w:rPr>
                    <w:t xml:space="preserve">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K</w:t>
                  </w:r>
                  <w:r>
                    <w:rPr>
                      <w:vertAlign w:val="subscript"/>
                    </w:rPr>
                    <w:t xml:space="preserve">c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 (nominal)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1.75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1.17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3.5</w:t>
                  </w:r>
                </w:p>
              </w:tc>
            </w:tr>
          </w:tbl>
          <w:bookmarkEnd w:id="32"/>
          <w:p/>
        </w:tc>
      </w:tr>
    </w:tbl>
    <w:p>
      <w:pPr>
        <w:numPr>
          <w:ilvl w:val="0"/>
          <w:numId w:val="1000"/>
        </w:numPr>
      </w:pPr>
      <w:r>
        <w:t xml:space="preserve">Note: To calculate K</w:t>
      </w:r>
      <w:r>
        <w:rPr>
          <w:vertAlign w:val="subscript"/>
        </w:rPr>
        <w:t xml:space="preserve">c</w:t>
      </w:r>
      <w:r>
        <w:t xml:space="preserve"> </w:t>
      </w:r>
      <w:r>
        <w:t xml:space="preserve">a value of r</w:t>
      </w:r>
      <w:r>
        <w:rPr>
          <w:vertAlign w:val="subscript"/>
        </w:rPr>
        <w:t xml:space="preserve">p</w:t>
      </w:r>
      <w:r>
        <w:t xml:space="preserve"> </w:t>
      </w:r>
      <w:r>
        <w:t xml:space="preserve">= 0.7 was used.</w:t>
      </w:r>
    </w:p>
    <w:p>
      <w:pPr>
        <w:numPr>
          <w:ilvl w:val="0"/>
          <w:numId w:val="1000"/>
        </w:numPr>
      </w:pPr>
      <w:r>
        <w:t xml:space="preserve">Evaluate the controller performance. Simulink file for problem</w:t>
      </w:r>
      <w:r>
        <w:t xml:space="preserve"> </w:t>
      </w:r>
      <w:r>
        <w:t xml:space="preserve">implementation without gain scheduling is given</w:t>
      </w:r>
      <w:r>
        <w:t xml:space="preserve"> </w:t>
      </w:r>
      <w:hyperlink r:id="rId33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Reactor-Furnace-Distillation System</w:t>
      </w:r>
      <w:r>
        <w:t xml:space="preserve">:</w:t>
      </w:r>
    </w:p>
    <w:p>
      <w:pPr>
        <w:numPr>
          <w:ilvl w:val="0"/>
          <w:numId w:val="1000"/>
        </w:numPr>
      </w:pPr>
      <w:r>
        <w:t xml:space="preserve">For RFD system shown in</w:t>
      </w:r>
      <w:r>
        <w:t xml:space="preserve"> </w:t>
      </w:r>
      <w:hyperlink w:anchor="fig-rfd">
        <w:r>
          <w:rPr>
            <w:rStyle w:val="Hyperlink"/>
          </w:rPr>
          <w:t xml:space="preserve">Figure 2</w:t>
        </w:r>
      </w:hyperlink>
      <w:r>
        <w:t xml:space="preserve">, draw the schematic of LS control strategy</w:t>
      </w:r>
      <w:r>
        <w:t xml:space="preserve"> </w:t>
      </w:r>
      <w:r>
        <w:t xml:space="preserve">for the reactor system, where it is desired to control the component A (CA),</w:t>
      </w:r>
      <w:r>
        <w:t xml:space="preserve"> </w:t>
      </w:r>
      <w:r>
        <w:t xml:space="preserve">and temperature of the reactor effluent T. The reactor temperature should</w:t>
      </w:r>
      <w:r>
        <w:t xml:space="preserve"> </w:t>
      </w:r>
      <w:r>
        <w:t xml:space="preserve">not exceed Tmax due to the possibility of the process encountering runaway</w:t>
      </w:r>
      <w:r>
        <w:t xml:space="preserve"> </w:t>
      </w:r>
      <w:r>
        <w:t xml:space="preserve">reaction and instability.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7" w:name="fig-rfd"/>
          <w:p>
            <w:pPr>
              <w:pStyle w:val="Compact"/>
              <w:jc w:val="center"/>
            </w:pPr>
            <w:r>
              <w:drawing>
                <wp:inline>
                  <wp:extent cx="6324600" cy="440198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reactor-furnace-distillation-system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4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Reactor-Furnace-Distillation system</w:t>
            </w:r>
          </w:p>
          <w:bookmarkEnd w:id="37"/>
        </w:tc>
      </w:tr>
    </w:tbl>
    <w:bookmarkEnd w:id="38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3" Target="media/rId23.png" /><Relationship Type="http://schemas.openxmlformats.org/officeDocument/2006/relationships/image" Id="rId34" Target="media/rId34.png" /><Relationship Type="http://schemas.openxmlformats.org/officeDocument/2006/relationships/hyperlink" Id="rId33" Target="./PI_without_gain_scheduler.s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3" Target="./PI_without_gain_scheduler.s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control</dc:title>
  <dc:creator>Ranjeet Utikar</dc:creator>
  <cp:keywords/>
  <dcterms:created xsi:type="dcterms:W3CDTF">2024-10-06T22:53:16Z</dcterms:created>
  <dcterms:modified xsi:type="dcterms:W3CDTF">2024-10-06T22:53:16Z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2023-08-13</vt:lpwstr>
  </property>
  <property fmtid="{D5CDD505-2E9C-101B-9397-08002B2CF9AE}" pid="9" name="date-modified">
    <vt:lpwstr>2024-08-11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