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Ratio</w:t>
      </w:r>
      <w:r>
        <w:t xml:space="preserve"> </w:t>
      </w:r>
      <w:r>
        <w:t xml:space="preserve">control:</w:t>
      </w:r>
      <w:r>
        <w:t xml:space="preserve"> </w:t>
      </w:r>
      <w:r>
        <w:t xml:space="preserve">Ammonia</w:t>
      </w:r>
      <w:r>
        <w:t xml:space="preserve"> </w:t>
      </w:r>
      <w:r>
        <w:t xml:space="preserve">synthesis</w:t>
      </w:r>
      <w:r>
        <w:t xml:space="preserve"> </w:t>
      </w:r>
      <w:r>
        <w:t xml:space="preserve">reactor</w:t>
      </w:r>
    </w:p>
    <w:p>
      <w:pPr>
        <w:pStyle w:val="Subtitle"/>
      </w:pPr>
      <w:r>
        <w:t xml:space="preserve">Lecture</w:t>
      </w:r>
      <w:r>
        <w:t xml:space="preserve"> </w:t>
      </w:r>
      <w:r>
        <w:t xml:space="preserve">notes</w:t>
      </w:r>
      <w:r>
        <w:t xml:space="preserve"> </w:t>
      </w:r>
      <w:r>
        <w:t xml:space="preserve">for</w:t>
      </w:r>
      <w:r>
        <w:t xml:space="preserve"> </w:t>
      </w:r>
      <w:r>
        <w:t xml:space="preserve">Advanced</w:t>
      </w:r>
      <w:r>
        <w:t xml:space="preserve"> </w:t>
      </w:r>
      <w:r>
        <w:t xml:space="preserve">modeling</w:t>
      </w:r>
      <w:r>
        <w:t xml:space="preserve"> </w:t>
      </w:r>
      <w:r>
        <w:t xml:space="preserve">and</w:t>
      </w:r>
      <w:r>
        <w:t xml:space="preserve"> </w:t>
      </w:r>
      <w:r>
        <w:t xml:space="preserve">Control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2023-07-26</w:t>
      </w:r>
    </w:p>
    <w:bookmarkStart w:id="29" w:name="example-15.1-from-seborg2016"/>
    <w:p>
      <w:pPr>
        <w:pStyle w:val="Heading1"/>
      </w:pPr>
      <w:r>
        <w:t xml:space="preserve">1. Example 15.1 from</w:t>
      </w:r>
      <w:r>
        <w:t xml:space="preserve"> </w:t>
      </w:r>
      <w:r>
        <w:t xml:space="preserve">(</w:t>
      </w:r>
      <w:hyperlink w:anchor="ref-seborg2016">
        <w:r>
          <w:rPr>
            <w:rStyle w:val="Hyperlink"/>
          </w:rPr>
          <w:t xml:space="preserve">Seborg et al. 2016</w:t>
        </w:r>
      </w:hyperlink>
      <w:r>
        <w:t xml:space="preserve">)</w:t>
      </w:r>
    </w:p>
    <w:p>
      <w:pPr>
        <w:pStyle w:val="FirstParagraph"/>
      </w:pPr>
      <w:r>
        <w:t xml:space="preserve">A ratio control scheme is to be used to maintain a stoichiometric ratio of</w:t>
      </w:r>
      <w:r>
        <w:t xml:space="preserve"> </w:t>
      </w:r>
      <w:r>
        <w:t xml:space="preserve">H</w:t>
      </w:r>
      <w:r>
        <w:rPr>
          <w:vertAlign w:val="subscript"/>
        </w:rPr>
        <w:t xml:space="preserve">2</w:t>
      </w:r>
      <w:r>
        <w:t xml:space="preserve"> </w:t>
      </w:r>
      <w:r>
        <w:t xml:space="preserve">and N</w:t>
      </w:r>
      <w:r>
        <w:rPr>
          <w:vertAlign w:val="subscript"/>
        </w:rPr>
        <w:t xml:space="preserve">2</w:t>
      </w:r>
      <w:r>
        <w:t xml:space="preserve"> </w:t>
      </w:r>
      <w:r>
        <w:t xml:space="preserve">as the feed to an ammonia synthesis reactor</w:t>
      </w:r>
      <w:r>
        <w:t xml:space="preserve"> </w:t>
      </w:r>
      <w:hyperlink w:anchor="fig-nh3-synthesis">
        <w:r>
          <w:rPr>
            <w:rStyle w:val="Hyperlink"/>
          </w:rPr>
          <w:t xml:space="preserve">Figure 1</w:t>
        </w:r>
      </w:hyperlink>
      <w:r>
        <w:t xml:space="preserve">. Individual</w:t>
      </w:r>
      <w:r>
        <w:t xml:space="preserve"> </w:t>
      </w:r>
      <w:r>
        <w:t xml:space="preserve">flow controllers will be used for both the H</w:t>
      </w:r>
      <w:r>
        <w:rPr>
          <w:vertAlign w:val="subscript"/>
        </w:rPr>
        <w:t xml:space="preserve">2</w:t>
      </w:r>
      <w:r>
        <w:t xml:space="preserve"> </w:t>
      </w:r>
      <w:r>
        <w:t xml:space="preserve">and N</w:t>
      </w:r>
      <w:r>
        <w:rPr>
          <w:vertAlign w:val="subscript"/>
        </w:rPr>
        <w:t xml:space="preserve">2</w:t>
      </w:r>
      <w:r>
        <w:t xml:space="preserve"> </w:t>
      </w:r>
      <w:r>
        <w:t xml:space="preserve">streams.</w:t>
      </w:r>
      <w:r>
        <w:t xml:space="preserve"> </w:t>
      </w:r>
      <w:r>
        <w:t xml:space="preserve">Using the information given below,</w:t>
      </w:r>
    </w:p>
    <w:p>
      <w:pPr>
        <w:pStyle w:val="Compact"/>
        <w:numPr>
          <w:ilvl w:val="0"/>
          <w:numId w:val="1001"/>
        </w:numPr>
      </w:pPr>
      <w:r>
        <w:t xml:space="preserve">Draw a schematic diagram for the ratio control scheme.</w:t>
      </w:r>
    </w:p>
    <w:p>
      <w:pPr>
        <w:pStyle w:val="Compact"/>
        <w:numPr>
          <w:ilvl w:val="0"/>
          <w:numId w:val="1001"/>
        </w:numPr>
      </w:pPr>
      <w:r>
        <w:t xml:space="preserve">Specify the appropriate gain for the ratio station,</w:t>
      </w:r>
      <w:r>
        <w:t xml:space="preserve"> </w:t>
      </w:r>
      <m:oMath>
        <m:sSub>
          <m:e>
            <m:r>
              <m:t>K</m:t>
            </m:r>
          </m:e>
          <m:sub>
            <m:r>
              <m:t>R</m:t>
            </m:r>
          </m:sub>
        </m:sSub>
      </m:oMath>
      <w:r>
        <w:t xml:space="preserve">.</w:t>
      </w:r>
    </w:p>
    <w:bookmarkStart w:id="24" w:name="available-information"/>
    <w:p>
      <w:pPr>
        <w:pStyle w:val="Heading2"/>
      </w:pPr>
      <w:r>
        <w:t xml:space="preserve">1.1 Available information:</w:t>
      </w:r>
    </w:p>
    <w:p>
      <w:pPr>
        <w:numPr>
          <w:ilvl w:val="0"/>
          <w:numId w:val="1002"/>
        </w:numPr>
      </w:pPr>
      <w:r>
        <w:t xml:space="preserve">The electronic flow transmitters have built-in square root extractors. The</w:t>
      </w:r>
      <w:r>
        <w:t xml:space="preserve"> </w:t>
      </w:r>
      <w:r>
        <w:t xml:space="preserve">spans of the flow transmitters are 30 L/min for H</w:t>
      </w:r>
      <w:r>
        <w:rPr>
          <w:vertAlign w:val="subscript"/>
        </w:rPr>
        <w:t xml:space="preserve">2</w:t>
      </w:r>
      <w:r>
        <w:t xml:space="preserve"> </w:t>
      </w:r>
      <w:r>
        <w:t xml:space="preserve">and 15 L/min for</w:t>
      </w:r>
      <w:r>
        <w:t xml:space="preserve"> </w:t>
      </w:r>
      <w:r>
        <w:t xml:space="preserve">N</w:t>
      </w:r>
      <w:r>
        <w:rPr>
          <w:vertAlign w:val="subscript"/>
        </w:rPr>
        <w:t xml:space="preserve">2</w:t>
      </w:r>
      <w:r>
        <w:t xml:space="preserve">.</w:t>
      </w:r>
    </w:p>
    <w:p>
      <w:pPr>
        <w:numPr>
          <w:ilvl w:val="0"/>
          <w:numId w:val="1002"/>
        </w:numPr>
      </w:pPr>
      <w:r>
        <w:t xml:space="preserve">The control valves have pneumatic actuators.</w:t>
      </w:r>
    </w:p>
    <w:p>
      <w:pPr>
        <w:numPr>
          <w:ilvl w:val="0"/>
          <w:numId w:val="1002"/>
        </w:numPr>
      </w:pPr>
      <w:r>
        <w:t xml:space="preserve">Each required current-to-pressure (I/P) transducer has a gain of 0.75</w:t>
      </w:r>
      <w:r>
        <w:t xml:space="preserve"> </w:t>
      </w:r>
      <w:r>
        <w:t xml:space="preserve">psi/mA.</w:t>
      </w:r>
    </w:p>
    <w:p>
      <w:pPr>
        <w:numPr>
          <w:ilvl w:val="0"/>
          <w:numId w:val="1002"/>
        </w:numPr>
      </w:pPr>
      <w:r>
        <w:t xml:space="preserve">The ratio station is an electronic instrument with 4–20 mA input and output</w:t>
      </w:r>
      <w:r>
        <w:t xml:space="preserve"> </w:t>
      </w:r>
      <w:r>
        <w:t xml:space="preserve">signals.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3" w:name="fig-nh3-synthesis"/>
          <w:p>
            <w:pPr>
              <w:pStyle w:val="Compact"/>
              <w:jc w:val="center"/>
            </w:pPr>
            <w:r>
              <w:drawing>
                <wp:inline>
                  <wp:extent cx="6229541" cy="3275325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feedforward-and-ratio-control-NH3-synthesis-reactor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541" cy="327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Ammonia synthesis reactor</w:t>
            </w:r>
          </w:p>
          <w:bookmarkEnd w:id="23"/>
        </w:tc>
      </w:tr>
    </w:tbl>
    <w:bookmarkEnd w:id="24"/>
    <w:bookmarkStart w:id="28" w:name="references"/>
    <w:p>
      <w:pPr>
        <w:pStyle w:val="Heading2"/>
      </w:pPr>
      <w:r>
        <w:t xml:space="preserve">1.2 References</w:t>
      </w:r>
    </w:p>
    <w:bookmarkStart w:id="27" w:name="refs"/>
    <w:bookmarkStart w:id="26" w:name="ref-seborg2016"/>
    <w:p>
      <w:pPr>
        <w:pStyle w:val="Bibliography"/>
      </w:pPr>
      <w:r>
        <w:t xml:space="preserve">Seborg, Dale E., Thomas F. Edgar, Duncan A. Mellichamp, and Francis J. Doyle III. 2016.</w:t>
      </w:r>
      <w:r>
        <w:t xml:space="preserve"> </w:t>
      </w:r>
      <w:r>
        <w:rPr>
          <w:i/>
          <w:iCs/>
        </w:rPr>
        <w:t xml:space="preserve">Process Dynamics and Control</w:t>
      </w:r>
      <w:r>
        <w:t xml:space="preserve">. John Wiley &amp; Sons.</w:t>
      </w:r>
      <w:r>
        <w:t xml:space="preserve"> </w:t>
      </w:r>
      <w:hyperlink r:id="rId25">
        <w:r>
          <w:rPr>
            <w:rStyle w:val="Hyperlink"/>
          </w:rPr>
          <w:t xml:space="preserve">https://books.google.com?id=ZZVFEAAAQBAJ</w:t>
        </w:r>
      </w:hyperlink>
      <w:r>
        <w:t xml:space="preserve">.</w:t>
      </w:r>
    </w:p>
    <w:bookmarkEnd w:id="26"/>
    <w:bookmarkEnd w:id="27"/>
    <w:bookmarkEnd w:id="28"/>
    <w:bookmarkEnd w:id="29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731">
    <w:nsid w:val="00A99731"/>
    <w:multiLevelType w:val="multilevel"/>
    <w:lvl w:ilvl="0">
      <w:start w:val="1"/>
      <w:numFmt w:val="lowerLetter"/>
      <w:lvlText w:val="(%1)"/>
      <w:lvlJc w:val="left"/>
      <w:pPr>
        <w:ind w:left="720" w:hanging="480"/>
      </w:pPr>
    </w:lvl>
    <w:lvl w:ilvl="1">
      <w:start w:val="1"/>
      <w:numFmt w:val="lowerLetter"/>
      <w:lvlText w:val="(%2)"/>
      <w:lvlJc w:val="left"/>
      <w:pPr>
        <w:ind w:left="1440" w:hanging="480"/>
      </w:pPr>
    </w:lvl>
    <w:lvl w:ilvl="2">
      <w:start w:val="1"/>
      <w:numFmt w:val="lowerLetter"/>
      <w:lvlText w:val="(%3)"/>
      <w:lvlJc w:val="left"/>
      <w:pPr>
        <w:ind w:left="2160" w:hanging="480"/>
      </w:pPr>
    </w:lvl>
    <w:lvl w:ilvl="3">
      <w:start w:val="1"/>
      <w:numFmt w:val="lowerLetter"/>
      <w:lvlText w:val="(%4)"/>
      <w:lvlJc w:val="left"/>
      <w:pPr>
        <w:ind w:left="288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Letter"/>
      <w:lvlText w:val="(%6)"/>
      <w:lvlJc w:val="left"/>
      <w:pPr>
        <w:ind w:left="4320" w:hanging="480"/>
      </w:pPr>
    </w:lvl>
    <w:lvl w:ilvl="6">
      <w:start w:val="1"/>
      <w:numFmt w:val="lowerLetter"/>
      <w:lvlText w:val="(%7)"/>
      <w:lvlJc w:val="left"/>
      <w:pPr>
        <w:ind w:left="5040" w:hanging="480"/>
      </w:pPr>
    </w:lvl>
    <w:lvl w:ilvl="7">
      <w:start w:val="1"/>
      <w:numFmt w:val="lowerLetter"/>
      <w:lvlText w:val="(%8)"/>
      <w:lvlJc w:val="left"/>
      <w:pPr>
        <w:ind w:left="5760" w:hanging="480"/>
      </w:pPr>
    </w:lvl>
    <w:lvl w:ilvl="8">
      <w:start w:val="1"/>
      <w:numFmt w:val="lowerLetter"/>
      <w:lvlText w:val="(%9)"/>
      <w:lvlJc w:val="left"/>
      <w:pPr>
        <w:ind w:left="6480" w:hanging="480"/>
      </w:pPr>
    </w:lvl>
  </w:abstractNum>
  <w:abstractNum w:abstractNumId="99511">
    <w:nsid w:val="00A99511"/>
    <w:multiLevelType w:val="multilevel"/>
    <w:lvl w:ilvl="0">
      <w:start w:val="1"/>
      <w:numFmt w:val="lowerRoman"/>
      <w:lvlText w:val="%1."/>
      <w:lvlJc w:val="left"/>
      <w:pPr>
        <w:ind w:left="720" w:hanging="480"/>
      </w:pPr>
    </w:lvl>
    <w:lvl w:ilvl="1">
      <w:start w:val="1"/>
      <w:numFmt w:val="lowerRoman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lowerRoman"/>
      <w:lvlText w:val="%4."/>
      <w:lvlJc w:val="left"/>
      <w:pPr>
        <w:ind w:left="2880" w:hanging="480"/>
      </w:pPr>
    </w:lvl>
    <w:lvl w:ilvl="4">
      <w:start w:val="1"/>
      <w:numFmt w:val="lowerRoman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lowerRoman"/>
      <w:lvlText w:val="%7."/>
      <w:lvlJc w:val="left"/>
      <w:pPr>
        <w:ind w:left="5040" w:hanging="480"/>
      </w:pPr>
    </w:lvl>
    <w:lvl w:ilvl="7">
      <w:start w:val="1"/>
      <w:numFmt w:val="lowerRoman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0" Target="media/rId20.png" /><Relationship Type="http://schemas.openxmlformats.org/officeDocument/2006/relationships/hyperlink" Id="rId25" Target="https://books.google.com?id=ZZVFEAAAQBAJ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books.google.com?id=ZZVFEAAAQBA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 control: Ammonia synthesis reactor</dc:title>
  <dc:creator>Ranjeet Utikar</dc:creator>
  <cp:keywords/>
  <dcterms:created xsi:type="dcterms:W3CDTF">2024-10-06T22:52:55Z</dcterms:created>
  <dcterms:modified xsi:type="dcterms:W3CDTF">2024-10-06T22:52:55Z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2023-07-26</vt:lpwstr>
  </property>
  <property fmtid="{D5CDD505-2E9C-101B-9397-08002B2CF9AE}" pid="9" name="description-meta">
    <vt:lpwstr>An undergraduate course on advanced modeling and Control.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nk-bibliography">
    <vt:lpwstr>True</vt:lpwstr>
  </property>
  <property fmtid="{D5CDD505-2E9C-101B-9397-08002B2CF9AE}" pid="15" name="link-citations">
    <vt:lpwstr>True</vt:lpwstr>
  </property>
  <property fmtid="{D5CDD505-2E9C-101B-9397-08002B2CF9AE}" pid="16" name="number-depth">
    <vt:lpwstr>3</vt:lpwstr>
  </property>
  <property fmtid="{D5CDD505-2E9C-101B-9397-08002B2CF9AE}" pid="17" name="subtitle">
    <vt:lpwstr>Lecture notes for Advanced modeling and Control</vt:lpwstr>
  </property>
  <property fmtid="{D5CDD505-2E9C-101B-9397-08002B2CF9AE}" pid="18" name="toc-title">
    <vt:lpwstr>Table of contents</vt:lpwstr>
  </property>
</Properties>
</file>