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06:</w:t>
      </w:r>
      <w:r>
        <w:t xml:space="preserve"> </w:t>
      </w:r>
      <w:r>
        <w:t xml:space="preserve">Multi-loop</w:t>
      </w:r>
      <w:r>
        <w:t xml:space="preserve"> </w:t>
      </w:r>
      <w:r>
        <w:t xml:space="preserve">PID</w:t>
      </w:r>
      <w:r>
        <w:t xml:space="preserve"> </w:t>
      </w:r>
      <w:r>
        <w:t xml:space="preserve">Control</w:t>
      </w:r>
      <w:r>
        <w:t xml:space="preserve"> </w:t>
      </w:r>
      <w:r>
        <w:t xml:space="preserve">Simulation</w:t>
      </w:r>
    </w:p>
    <w:p>
      <w:pPr>
        <w:pStyle w:val="Subtitle"/>
      </w:pPr>
      <w:r>
        <w:t xml:space="preserve">CHEN4011:</w:t>
      </w:r>
      <w:r>
        <w:t xml:space="preserve"> </w:t>
      </w:r>
      <w:r>
        <w:t xml:space="preserve">Advanced</w:t>
      </w:r>
      <w:r>
        <w:t xml:space="preserve"> </w:t>
      </w:r>
      <w:r>
        <w:t xml:space="preserve">modeling</w:t>
      </w:r>
      <w:r>
        <w:t xml:space="preserve"> </w:t>
      </w:r>
      <w:r>
        <w:t xml:space="preserve">and</w:t>
      </w:r>
      <w:r>
        <w:t xml:space="preserve"> </w:t>
      </w:r>
      <w:r>
        <w:t xml:space="preserve">Control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2023-09-17</w:t>
      </w:r>
    </w:p>
    <w:bookmarkStart w:id="20" w:name="objectives"/>
    <w:p>
      <w:pPr>
        <w:pStyle w:val="Heading1"/>
      </w:pPr>
      <w:r>
        <w:t xml:space="preserve">1. Objectives</w:t>
      </w:r>
    </w:p>
    <w:p>
      <w:pPr>
        <w:pStyle w:val="Compact"/>
        <w:numPr>
          <w:ilvl w:val="0"/>
          <w:numId w:val="1001"/>
        </w:numPr>
      </w:pPr>
      <w:r>
        <w:t xml:space="preserve">To develop a MATLAB Simulink model for multi-loop PID control simulation</w:t>
      </w:r>
    </w:p>
    <w:p>
      <w:pPr>
        <w:pStyle w:val="Compact"/>
        <w:numPr>
          <w:ilvl w:val="0"/>
          <w:numId w:val="1001"/>
        </w:numPr>
      </w:pPr>
      <w:r>
        <w:t xml:space="preserve">To apply controller tuning methods.</w:t>
      </w:r>
    </w:p>
    <w:bookmarkEnd w:id="20"/>
    <w:bookmarkStart w:id="22" w:name="sec-process-information"/>
    <w:p>
      <w:pPr>
        <w:pStyle w:val="Heading1"/>
      </w:pPr>
      <w:r>
        <w:t xml:space="preserve">2. Problem Statement</w:t>
      </w:r>
    </w:p>
    <w:p>
      <w:pPr>
        <w:pStyle w:val="FirstParagraph"/>
      </w:pPr>
      <w:r>
        <w:t xml:space="preserve">Consider a 2x2 MIMO process given as follows:</w:t>
      </w:r>
    </w:p>
    <w:p>
      <w:pPr>
        <w:pStyle w:val="BodyText"/>
      </w:pPr>
      <w:bookmarkStart w:id="21" w:name="eq-1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22.89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0.2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4.572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11.64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0.4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1.807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t>4.689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0.2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2.174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5.80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0.4</m:t>
                            </m:r>
                            <m:r>
                              <m:t>s</m:t>
                            </m:r>
                          </m:sup>
                        </m:sSup>
                      </m:num>
                      <m:den>
                        <m:r>
                          <m:t>1.801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1"/>
    </w:p>
    <w:bookmarkEnd w:id="22"/>
    <w:bookmarkStart w:id="23" w:name="tasks"/>
    <w:p>
      <w:pPr>
        <w:pStyle w:val="Heading1"/>
      </w:pPr>
      <w:r>
        <w:t xml:space="preserve">3. Tasks</w:t>
      </w:r>
    </w:p>
    <w:p>
      <w:pPr>
        <w:numPr>
          <w:ilvl w:val="0"/>
          <w:numId w:val="1002"/>
        </w:numPr>
      </w:pPr>
      <w:r>
        <w:t xml:space="preserve">Determine suitable controller pairings for the MIMO process given above. Based on the results of the controller pairing analysis, next reduce the decentralized system above to a diagonal form with two effective open-loop transfer functions (EOTF). [2.5 marks]</w:t>
      </w:r>
    </w:p>
    <w:p>
      <w:pPr>
        <w:numPr>
          <w:ilvl w:val="0"/>
          <w:numId w:val="1002"/>
        </w:numPr>
      </w:pPr>
      <w:r>
        <w:t xml:space="preserve">Complete the multi-loop PI controller tuning using the aforementioned 2 different tuning methods stated in the objectives. Then, evaluate the multi-loop PI controller performances for sequential setpoint tracking to 1 unit step change in the setpoints of y_1 and y_2. Analysis the simulation results and identify which of the 2 tuning methods gives the best performance for this particular MIMO process. [2.5 marks]</w:t>
      </w:r>
    </w:p>
    <w:p>
      <w:pPr>
        <w:numPr>
          <w:ilvl w:val="0"/>
          <w:numId w:val="1002"/>
        </w:numPr>
      </w:pPr>
      <w:r>
        <w:t xml:space="preserve">Next, evaluate the multi-loop PI controller performance for disturbance rejection: consider 1 unit step changes in the output disturbances to y_1 and y_2. Again, based on your analysis of the simulation results identify the best multi-loop PI control system. [2.5 marks]</w:t>
      </w:r>
    </w:p>
    <w:p>
      <w:pPr>
        <w:numPr>
          <w:ilvl w:val="0"/>
          <w:numId w:val="1002"/>
        </w:numPr>
      </w:pPr>
      <w:r>
        <w:t xml:space="preserve">Suppose that there are modelling errors in the process model where the gain errors are 10% and deadtime errors are 20%. Under these modelling errors, run the simulation of the multi-loop PI control systems involved. Analyze the simulation results and summarize 2 key findings from the simulation. [2.5 marks]</w:t>
      </w:r>
    </w:p>
    <w:bookmarkEnd w:id="23"/>
    <w:bookmarkStart w:id="24" w:name="notes"/>
    <w:p>
      <w:pPr>
        <w:pStyle w:val="Heading1"/>
      </w:pPr>
      <w:r>
        <w:t xml:space="preserve">4. Notes</w:t>
      </w:r>
    </w:p>
    <w:p>
      <w:pPr>
        <w:pStyle w:val="Compact"/>
        <w:numPr>
          <w:ilvl w:val="0"/>
          <w:numId w:val="1003"/>
        </w:numPr>
      </w:pPr>
      <w:r>
        <w:t xml:space="preserve">Show the Simulink model in the report</w:t>
      </w:r>
    </w:p>
    <w:p>
      <w:pPr>
        <w:pStyle w:val="Compact"/>
        <w:numPr>
          <w:ilvl w:val="0"/>
          <w:numId w:val="1003"/>
        </w:numPr>
      </w:pPr>
      <w:r>
        <w:t xml:space="preserve">Provide a few figures or plots to show your control system responses</w:t>
      </w:r>
    </w:p>
    <w:p>
      <w:pPr>
        <w:pStyle w:val="Compact"/>
        <w:numPr>
          <w:ilvl w:val="0"/>
          <w:numId w:val="1003"/>
        </w:numPr>
      </w:pPr>
      <w:r>
        <w:t xml:space="preserve">Use tables to summarize your results</w:t>
      </w:r>
    </w:p>
    <w:p>
      <w:pPr>
        <w:pStyle w:val="Compact"/>
        <w:numPr>
          <w:ilvl w:val="0"/>
          <w:numId w:val="1003"/>
        </w:numPr>
      </w:pPr>
      <w:r>
        <w:t xml:space="preserve">Maximum report is 5 pages excluding the cover page</w:t>
      </w:r>
    </w:p>
    <w:bookmarkEnd w:id="2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06: Multi-loop PID Control Simulation</dc:title>
  <dc:creator>Ranjeet Utikar</dc:creator>
  <cp:keywords/>
  <dcterms:created xsi:type="dcterms:W3CDTF">2024-10-06T22:52:02Z</dcterms:created>
  <dcterms:modified xsi:type="dcterms:W3CDTF">2024-10-06T22:52:02Z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2023-09-17</vt:lpwstr>
  </property>
  <property fmtid="{D5CDD505-2E9C-101B-9397-08002B2CF9AE}" pid="9" name="description-meta">
    <vt:lpwstr>An undergraduate course on advanced modeling and Control.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nk-bibliography">
    <vt:lpwstr>True</vt:lpwstr>
  </property>
  <property fmtid="{D5CDD505-2E9C-101B-9397-08002B2CF9AE}" pid="15" name="link-citations">
    <vt:lpwstr>True</vt:lpwstr>
  </property>
  <property fmtid="{D5CDD505-2E9C-101B-9397-08002B2CF9AE}" pid="16" name="number-depth">
    <vt:lpwstr>3</vt:lpwstr>
  </property>
  <property fmtid="{D5CDD505-2E9C-101B-9397-08002B2CF9AE}" pid="17" name="resources">
    <vt:lpwstr/>
  </property>
  <property fmtid="{D5CDD505-2E9C-101B-9397-08002B2CF9AE}" pid="18" name="subtitle">
    <vt:lpwstr>CHEN4011: Advanced modeling and Control</vt:lpwstr>
  </property>
  <property fmtid="{D5CDD505-2E9C-101B-9397-08002B2CF9AE}" pid="19" name="toc-title">
    <vt:lpwstr>Table of contents</vt:lpwstr>
  </property>
</Properties>
</file>