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02:</w:t>
      </w:r>
      <w:r>
        <w:t xml:space="preserve"> </w:t>
      </w:r>
      <w:r>
        <w:t xml:space="preserve">Cascade</w:t>
      </w:r>
      <w:r>
        <w:t xml:space="preserve"> </w:t>
      </w:r>
      <w:r>
        <w:t xml:space="preserve">control</w:t>
      </w:r>
    </w:p>
    <w:p>
      <w:pPr>
        <w:pStyle w:val="Subtitle"/>
      </w:pPr>
      <w:r>
        <w:t xml:space="preserve">CHEN4011:</w:t>
      </w:r>
      <w:r>
        <w:t xml:space="preserve"> </w:t>
      </w:r>
      <w:r>
        <w:t xml:space="preserve">Advanced</w:t>
      </w:r>
      <w:r>
        <w:t xml:space="preserve"> </w:t>
      </w:r>
      <w:r>
        <w:t xml:space="preserve">modeling</w:t>
      </w:r>
      <w:r>
        <w:t xml:space="preserve"> </w:t>
      </w:r>
      <w:r>
        <w:t xml:space="preserve">and</w:t>
      </w:r>
      <w:r>
        <w:t xml:space="preserve"> </w:t>
      </w:r>
      <w:r>
        <w:t xml:space="preserve">Control</w:t>
      </w:r>
    </w:p>
    <w:p>
      <w:pPr>
        <w:pStyle w:val="Author"/>
      </w:pPr>
      <w:r>
        <w:t xml:space="preserve">Ranjeet</w:t>
      </w:r>
      <w:r>
        <w:t xml:space="preserve"> </w:t>
      </w:r>
      <w:r>
        <w:t xml:space="preserve">Utikar</w:t>
      </w:r>
    </w:p>
    <w:p>
      <w:pPr>
        <w:pStyle w:val="Date"/>
      </w:pPr>
      <w:r>
        <w:t xml:space="preserve">2023-08-07</w:t>
      </w:r>
    </w:p>
    <w:bookmarkStart w:id="20" w:name="objectives"/>
    <w:p>
      <w:pPr>
        <w:pStyle w:val="Heading1"/>
      </w:pPr>
      <w:r>
        <w:t xml:space="preserve">1. Objectives</w:t>
      </w:r>
    </w:p>
    <w:p>
      <w:pPr>
        <w:numPr>
          <w:ilvl w:val="0"/>
          <w:numId w:val="1001"/>
        </w:numPr>
      </w:pPr>
      <w:r>
        <w:t xml:space="preserve">To learn how to tune a cascade control system for stable secondary and</w:t>
      </w:r>
      <w:r>
        <w:t xml:space="preserve"> </w:t>
      </w:r>
      <w:r>
        <w:t xml:space="preserve">primary processes</w:t>
      </w:r>
    </w:p>
    <w:p>
      <w:pPr>
        <w:numPr>
          <w:ilvl w:val="0"/>
          <w:numId w:val="1001"/>
        </w:numPr>
      </w:pPr>
      <w:r>
        <w:t xml:space="preserve">To learn how to tune a cascade control system for stable secondary process</w:t>
      </w:r>
      <w:r>
        <w:t xml:space="preserve"> </w:t>
      </w:r>
      <w:r>
        <w:t xml:space="preserve">and integrating primary process.</w:t>
      </w:r>
    </w:p>
    <w:p>
      <w:pPr>
        <w:numPr>
          <w:ilvl w:val="0"/>
          <w:numId w:val="1001"/>
        </w:numPr>
      </w:pPr>
      <w:r>
        <w:t xml:space="preserve">To develop Matlab Simulink model of cascade control for the process</w:t>
      </w:r>
      <w:r>
        <w:t xml:space="preserve"> </w:t>
      </w:r>
      <w:r>
        <w:t xml:space="preserve">simulation</w:t>
      </w:r>
    </w:p>
    <w:bookmarkEnd w:id="20"/>
    <w:bookmarkStart w:id="25" w:name="sec-process-information"/>
    <w:p>
      <w:pPr>
        <w:pStyle w:val="Heading1"/>
      </w:pPr>
      <w:r>
        <w:t xml:space="preserve">2. Process information</w:t>
      </w:r>
    </w:p>
    <w:bookmarkStart w:id="22" w:name="case-1"/>
    <w:p>
      <w:pPr>
        <w:pStyle w:val="Heading2"/>
      </w:pPr>
      <w:r>
        <w:t xml:space="preserve">2.1 Case 1</w:t>
      </w:r>
    </w:p>
    <w:p>
      <w:pPr>
        <w:pStyle w:val="FirstParagraph"/>
      </w:pPr>
      <w:bookmarkStart w:id="21" w:name="eq-case-1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nor/>
                    <m:sty m:val="p"/>
                  </m:rPr>
                  <m:t> Primary Process: </m:t>
                </m:r>
                <m:sSub>
                  <m:e>
                    <m:r>
                      <m:t>G</m:t>
                    </m:r>
                  </m:e>
                  <m:sub>
                    <m:r>
                      <m:t>p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2.5</m:t>
                    </m:r>
                    <m:r>
                      <m:rPr>
                        <m:sty m:val="p"/>
                      </m:rPr>
                      <m:t>exp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4</m:t>
                        </m:r>
                        <m:r>
                          <m:t>s</m:t>
                        </m:r>
                      </m:e>
                    </m:d>
                  </m:num>
                  <m:den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5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e>
                    </m:d>
                  </m:den>
                </m:f>
              </m:e>
            </m:mr>
            <m:mr>
              <m:e/>
            </m:mr>
            <m:mr>
              <m:e>
                <m:r>
                  <m:rPr>
                    <m:nor/>
                    <m:sty m:val="p"/>
                  </m:rPr>
                  <m:t> Secondary Process: </m:t>
                </m:r>
                <m:sSub>
                  <m:e>
                    <m:r>
                      <m:t>G</m:t>
                    </m:r>
                  </m:e>
                  <m:sub>
                    <m:r>
                      <m:t>s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−</m:t>
                    </m:r>
                    <m:r>
                      <m:t>1.6</m:t>
                    </m:r>
                    <m:r>
                      <m:rPr>
                        <m:sty m:val="p"/>
                      </m:rPr>
                      <m:t>exp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1.2</m:t>
                        </m:r>
                        <m:r>
                          <m:t>s</m:t>
                        </m:r>
                      </m:e>
                    </m:d>
                  </m:num>
                  <m:den>
                    <m:r>
                      <m:t>1.5</m:t>
                    </m:r>
                    <m:r>
                      <m:t>s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den>
                </m:f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1"/>
    </w:p>
    <w:bookmarkEnd w:id="22"/>
    <w:bookmarkStart w:id="24" w:name="case-2"/>
    <w:p>
      <w:pPr>
        <w:pStyle w:val="Heading2"/>
      </w:pPr>
      <w:r>
        <w:t xml:space="preserve">2.2 Case 2</w:t>
      </w:r>
    </w:p>
    <w:p>
      <w:pPr>
        <w:pStyle w:val="FirstParagraph"/>
      </w:pPr>
      <w:bookmarkStart w:id="23" w:name="eq-case-1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nor/>
                    <m:sty m:val="p"/>
                  </m:rPr>
                  <m:t> Primary Process: </m:t>
                </m:r>
                <m:sSub>
                  <m:e>
                    <m:r>
                      <m:t>G</m:t>
                    </m:r>
                  </m:e>
                  <m:sub>
                    <m:r>
                      <m:t>p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0.2</m:t>
                    </m:r>
                    <m:r>
                      <m:rPr>
                        <m:sty m:val="p"/>
                      </m:rPr>
                      <m:t>exp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5</m:t>
                        </m:r>
                        <m:r>
                          <m:t>s</m:t>
                        </m:r>
                      </m:e>
                    </m:d>
                  </m:num>
                  <m:den>
                    <m:r>
                      <m:t>s</m:t>
                    </m:r>
                  </m:den>
                </m:f>
              </m:e>
            </m:mr>
            <m:mr>
              <m:e/>
            </m:mr>
            <m:mr>
              <m:e>
                <m:r>
                  <m:rPr>
                    <m:nor/>
                    <m:sty m:val="p"/>
                  </m:rPr>
                  <m:t> Secondary Process: </m:t>
                </m:r>
                <m:sSub>
                  <m:e>
                    <m:r>
                      <m:t>G</m:t>
                    </m:r>
                  </m:e>
                  <m:sub>
                    <m:r>
                      <m:t>s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2</m:t>
                    </m:r>
                    <m:r>
                      <m:rPr>
                        <m:sty m:val="p"/>
                      </m:rPr>
                      <m:t>exp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0.8</m:t>
                        </m:r>
                        <m:r>
                          <m:t>s</m:t>
                        </m:r>
                      </m:e>
                    </m:d>
                  </m:num>
                  <m:den>
                    <m:r>
                      <m:t>2</m:t>
                    </m:r>
                    <m:r>
                      <m:t>s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den>
                </m:f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23"/>
    </w:p>
    <w:bookmarkEnd w:id="24"/>
    <w:bookmarkEnd w:id="25"/>
    <w:bookmarkStart w:id="26" w:name="methodology"/>
    <w:p>
      <w:pPr>
        <w:pStyle w:val="Heading1"/>
      </w:pPr>
      <w:r>
        <w:t xml:space="preserve">3. Methodology</w:t>
      </w:r>
    </w:p>
    <w:p>
      <w:pPr>
        <w:pStyle w:val="FirstParagraph"/>
      </w:pPr>
      <w:r>
        <w:t xml:space="preserve">For each case in</w:t>
      </w:r>
      <w:r>
        <w:t xml:space="preserve"> </w:t>
      </w:r>
      <w:hyperlink w:anchor="sec-process-information">
        <w:r>
          <w:rPr>
            <w:rStyle w:val="Hyperlink"/>
          </w:rPr>
          <w:t xml:space="preserve">Section 2</w:t>
        </w:r>
      </w:hyperlink>
    </w:p>
    <w:p>
      <w:pPr>
        <w:numPr>
          <w:ilvl w:val="0"/>
          <w:numId w:val="1002"/>
        </w:numPr>
      </w:pPr>
      <w:r>
        <w:t xml:space="preserve">Tune a PI controller using a classical PID tuning formula.</w:t>
      </w:r>
    </w:p>
    <w:p>
      <w:pPr>
        <w:numPr>
          <w:ilvl w:val="0"/>
          <w:numId w:val="1002"/>
        </w:numPr>
      </w:pPr>
      <w:r>
        <w:t xml:space="preserve">Develop the Simulink models for the feedback control using primary loop only and</w:t>
      </w:r>
      <w:r>
        <w:t xml:space="preserve"> </w:t>
      </w:r>
      <w:r>
        <w:t xml:space="preserve">cascade control strategy (with a tightly tuned inner loop).</w:t>
      </w:r>
    </w:p>
    <w:p>
      <w:pPr>
        <w:pStyle w:val="FirstParagraph"/>
      </w:pPr>
      <w:r>
        <w:t xml:space="preserve">Evaluate the control performance for:</w:t>
      </w:r>
    </w:p>
    <w:p>
      <w:pPr>
        <w:numPr>
          <w:ilvl w:val="0"/>
          <w:numId w:val="1003"/>
        </w:numPr>
      </w:pPr>
      <w:r>
        <w:t xml:space="preserve">Setpoint tracking (Step input in setpoint)</w:t>
      </w:r>
    </w:p>
    <w:p>
      <w:pPr>
        <w:numPr>
          <w:ilvl w:val="0"/>
          <w:numId w:val="1003"/>
        </w:numPr>
      </w:pPr>
      <w:r>
        <w:t xml:space="preserve">Disturbance rejections for input disturbance.</w:t>
      </w:r>
    </w:p>
    <w:p>
      <w:pPr>
        <w:numPr>
          <w:ilvl w:val="0"/>
          <w:numId w:val="1003"/>
        </w:numPr>
      </w:pPr>
      <w:r>
        <w:t xml:space="preserve">Disturbance rejections for output disturbance.</w:t>
      </w:r>
    </w:p>
    <w:p>
      <w:pPr>
        <w:pStyle w:val="FirstParagraph"/>
      </w:pPr>
      <w:r>
        <w:t xml:space="preserve">Here are some common error metrics used to evaluate the performance of</w:t>
      </w:r>
      <w:r>
        <w:t xml:space="preserve"> </w:t>
      </w:r>
      <w:r>
        <w:t xml:space="preserve">controllers: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Integral of Time-weighted Absolute Error (ITAE):</w:t>
      </w:r>
    </w:p>
    <w:p>
      <w:pPr>
        <w:pStyle w:val="BodyText"/>
      </w:pPr>
      <m:oMathPara>
        <m:oMathParaPr>
          <m:jc m:val="center"/>
        </m:oMathParaPr>
        <m:oMath>
          <m:r>
            <m:t>I</m:t>
          </m:r>
          <m:r>
            <m:t>T</m:t>
          </m:r>
          <m:r>
            <m:t>A</m:t>
          </m:r>
          <m:r>
            <m:t>E</m:t>
          </m:r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T</m:t>
              </m:r>
            </m:sup>
            <m:e>
              <m:r>
                <m:t>t</m:t>
              </m:r>
            </m:e>
          </m:nary>
          <m:r>
            <m:rPr>
              <m:sty m:val="p"/>
            </m:rPr>
            <m:t>⋅</m:t>
          </m:r>
          <m:d>
            <m:dPr>
              <m:begChr m:val="|"/>
              <m:endChr m:val="|"/>
              <m:sepChr m:val=""/>
              <m:grow/>
            </m:dPr>
            <m:e>
              <m:r>
                <m:t>e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e>
          </m:d>
          <m:r>
            <m:t> </m:t>
          </m:r>
          <m:r>
            <m:t>d</m:t>
          </m:r>
          <m:r>
            <m:t>t</m:t>
          </m:r>
        </m:oMath>
      </m:oMathPara>
    </w:p>
    <w:p>
      <w:pPr>
        <w:numPr>
          <w:ilvl w:val="0"/>
          <w:numId w:val="1000"/>
        </w:numPr>
      </w:pPr>
      <w:r>
        <w:t xml:space="preserve">ITAE penalizes large errors that persist for a long time.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Integral of Absolute Error (IAE):</w:t>
      </w:r>
    </w:p>
    <w:p>
      <w:pPr>
        <w:pStyle w:val="BodyText"/>
      </w:pPr>
      <m:oMathPara>
        <m:oMathParaPr>
          <m:jc m:val="center"/>
        </m:oMathParaPr>
        <m:oMath>
          <m:r>
            <m:t>I</m:t>
          </m:r>
          <m:r>
            <m:t>A</m:t>
          </m:r>
          <m:r>
            <m:t>E</m:t>
          </m:r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T</m:t>
              </m:r>
            </m:sup>
            <m:e>
              <m:d>
                <m:dPr>
                  <m:begChr m:val="|"/>
                  <m:endChr m:val="|"/>
                  <m:sepChr m:val=""/>
                  <m:grow/>
                </m:dPr>
                <m:e>
                  <m:r>
                    <m:t>e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t</m:t>
                      </m:r>
                    </m:e>
                  </m:d>
                </m:e>
              </m:d>
            </m:e>
          </m:nary>
          <m:r>
            <m:t> </m:t>
          </m:r>
          <m:r>
            <m:t>d</m:t>
          </m:r>
          <m:r>
            <m:t>t</m:t>
          </m:r>
        </m:oMath>
      </m:oMathPara>
    </w:p>
    <w:p>
      <w:pPr>
        <w:numPr>
          <w:ilvl w:val="0"/>
          <w:numId w:val="1000"/>
        </w:numPr>
      </w:pPr>
      <w:r>
        <w:t xml:space="preserve">IAE gives a measure of the total absolute error over time and is sensitive</w:t>
      </w:r>
      <w:r>
        <w:t xml:space="preserve"> </w:t>
      </w:r>
      <w:r>
        <w:t xml:space="preserve">to both the magnitude and duration of the error.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Integral of Squared Error (ISE):</w:t>
      </w:r>
    </w:p>
    <w:p>
      <w:pPr>
        <w:pStyle w:val="BodyText"/>
      </w:pPr>
      <m:oMathPara>
        <m:oMathParaPr>
          <m:jc m:val="center"/>
        </m:oMathParaPr>
        <m:oMath>
          <m:r>
            <m:t>I</m:t>
          </m:r>
          <m:r>
            <m:t>S</m:t>
          </m:r>
          <m:r>
            <m:t>E</m:t>
          </m:r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T</m:t>
              </m:r>
            </m:sup>
            <m:e>
              <m:r>
                <m:t>e</m:t>
              </m:r>
            </m:e>
          </m:nary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e>
            <m:sup>
              <m:r>
                <m:t>2</m:t>
              </m:r>
            </m:sup>
          </m:sSup>
          <m:r>
            <m:t> </m:t>
          </m:r>
          <m:r>
            <m:t>d</m:t>
          </m:r>
          <m:r>
            <m:t>t</m:t>
          </m:r>
        </m:oMath>
      </m:oMathPara>
    </w:p>
    <w:p>
      <w:pPr>
        <w:numPr>
          <w:ilvl w:val="0"/>
          <w:numId w:val="1000"/>
        </w:numPr>
      </w:pPr>
      <w:r>
        <w:t xml:space="preserve">ISE penalizes larger errors more heavily than smaller errors, making it</w:t>
      </w:r>
      <w:r>
        <w:t xml:space="preserve"> </w:t>
      </w:r>
      <w:r>
        <w:t xml:space="preserve">useful when minimizing large errors is particularly important.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Integral of Time-weighted Squared Error (ITSE):</w:t>
      </w:r>
    </w:p>
    <w:p>
      <w:pPr>
        <w:pStyle w:val="BodyText"/>
      </w:pPr>
      <m:oMathPara>
        <m:oMathParaPr>
          <m:jc m:val="center"/>
        </m:oMathParaPr>
        <m:oMath>
          <m:r>
            <m:t>I</m:t>
          </m:r>
          <m:r>
            <m:t>T</m:t>
          </m:r>
          <m:r>
            <m:t>S</m:t>
          </m:r>
          <m:r>
            <m:t>E</m:t>
          </m:r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T</m:t>
              </m:r>
            </m:sup>
            <m:e>
              <m:r>
                <m:t>t</m:t>
              </m:r>
            </m:e>
          </m:nary>
          <m:r>
            <m:rPr>
              <m:sty m:val="p"/>
            </m:rPr>
            <m:t>⋅</m:t>
          </m:r>
          <m:r>
            <m:t>e</m:t>
          </m:r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e>
            <m:sup>
              <m:r>
                <m:t>2</m:t>
              </m:r>
            </m:sup>
          </m:sSup>
          <m:r>
            <m:t> </m:t>
          </m:r>
          <m:r>
            <m:t>d</m:t>
          </m:r>
          <m:r>
            <m:t>t</m:t>
          </m:r>
        </m:oMath>
      </m:oMathPara>
    </w:p>
    <w:p>
      <w:pPr>
        <w:numPr>
          <w:ilvl w:val="0"/>
          <w:numId w:val="1000"/>
        </w:numPr>
      </w:pPr>
      <w:r>
        <w:t xml:space="preserve">ITSE is similar to ISE but includes a time-weighting factor, penalizing</w:t>
      </w:r>
      <w:r>
        <w:t xml:space="preserve"> </w:t>
      </w:r>
      <w:r>
        <w:t xml:space="preserve">errors that persist for longer periods.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Peak Absolute Error (PAE):</w:t>
      </w:r>
    </w:p>
    <w:p>
      <w:pPr>
        <w:numPr>
          <w:ilvl w:val="0"/>
          <w:numId w:val="1000"/>
        </w:numPr>
      </w:pPr>
      <w:r>
        <w:t xml:space="preserve">PAE is the maximum absolute error that occurs over the time period of</w:t>
      </w:r>
      <w:r>
        <w:t xml:space="preserve"> </w:t>
      </w:r>
      <w:r>
        <w:t xml:space="preserve">interest. It’s a measure of the largest deviation from the desired output.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Settling Time:</w:t>
      </w:r>
    </w:p>
    <w:p>
      <w:pPr>
        <w:numPr>
          <w:ilvl w:val="0"/>
          <w:numId w:val="1000"/>
        </w:numPr>
      </w:pPr>
      <w:r>
        <w:t xml:space="preserve">The settling time is the time required for the error to fall within a</w:t>
      </w:r>
      <w:r>
        <w:t xml:space="preserve"> </w:t>
      </w:r>
      <w:r>
        <w:t xml:space="preserve">specified percentage (e.g., 2% or 5%) of the final steady-state value and</w:t>
      </w:r>
      <w:r>
        <w:t xml:space="preserve"> </w:t>
      </w:r>
      <w:r>
        <w:t xml:space="preserve">stay within that range.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Rise Time:</w:t>
      </w:r>
    </w:p>
    <w:p>
      <w:pPr>
        <w:numPr>
          <w:ilvl w:val="0"/>
          <w:numId w:val="1000"/>
        </w:numPr>
      </w:pPr>
      <w:r>
        <w:t xml:space="preserve">The rise time is the time required for the system response to rise from a</w:t>
      </w:r>
      <w:r>
        <w:t xml:space="preserve"> </w:t>
      </w:r>
      <w:r>
        <w:t xml:space="preserve">specified lower percentage to a specified higher percentage of its final</w:t>
      </w:r>
      <w:r>
        <w:t xml:space="preserve"> </w:t>
      </w:r>
      <w:r>
        <w:t xml:space="preserve">steady-state value.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Overshoot:</w:t>
      </w:r>
    </w:p>
    <w:p>
      <w:pPr>
        <w:numPr>
          <w:ilvl w:val="0"/>
          <w:numId w:val="1000"/>
        </w:numPr>
      </w:pPr>
      <w:r>
        <w:t xml:space="preserve">Overshoot is the percentage by which the system’s response exceeds its final</w:t>
      </w:r>
      <w:r>
        <w:t xml:space="preserve"> </w:t>
      </w:r>
      <w:r>
        <w:t xml:space="preserve">steady-state value. It gives an indication of the stability and damping of</w:t>
      </w:r>
      <w:r>
        <w:t xml:space="preserve"> </w:t>
      </w:r>
      <w:r>
        <w:t xml:space="preserve">the system.</w:t>
      </w:r>
    </w:p>
    <w:bookmarkEnd w:id="26"/>
    <w:bookmarkStart w:id="27" w:name="report-format"/>
    <w:p>
      <w:pPr>
        <w:pStyle w:val="Heading1"/>
      </w:pPr>
      <w:r>
        <w:t xml:space="preserve">4. Report Format</w:t>
      </w:r>
    </w:p>
    <w:p>
      <w:pPr>
        <w:numPr>
          <w:ilvl w:val="0"/>
          <w:numId w:val="1005"/>
        </w:numPr>
      </w:pPr>
      <w:r>
        <w:t xml:space="preserve">Provide and describe the MATLAB Simulink model of your cascade control</w:t>
      </w:r>
      <w:r>
        <w:t xml:space="preserve"> </w:t>
      </w:r>
      <w:r>
        <w:t xml:space="preserve">system. (5 marks)</w:t>
      </w:r>
    </w:p>
    <w:p>
      <w:pPr>
        <w:numPr>
          <w:ilvl w:val="0"/>
          <w:numId w:val="1005"/>
        </w:numPr>
      </w:pPr>
      <w:r>
        <w:t xml:space="preserve">Answer the following questions (5 Marks)</w:t>
      </w:r>
    </w:p>
    <w:p>
      <w:pPr>
        <w:numPr>
          <w:ilvl w:val="0"/>
          <w:numId w:val="1005"/>
        </w:numPr>
      </w:pPr>
      <w:r>
        <w:t xml:space="preserve">Can the cascade control provide improvement over the single-loop control</w:t>
      </w:r>
      <w:r>
        <w:t xml:space="preserve"> </w:t>
      </w:r>
      <w:r>
        <w:t xml:space="preserve">for the input or output disturbance? Show the plots of the closed-loop</w:t>
      </w:r>
      <w:r>
        <w:t xml:space="preserve"> </w:t>
      </w:r>
      <w:r>
        <w:t xml:space="preserve">responses of the primary and secondary variables to support your</w:t>
      </w:r>
      <w:r>
        <w:t xml:space="preserve"> </w:t>
      </w:r>
      <w:r>
        <w:t xml:space="preserve">argument. Use</w:t>
      </w:r>
    </w:p>
    <w:p>
      <w:pPr>
        <w:numPr>
          <w:ilvl w:val="0"/>
          <w:numId w:val="1005"/>
        </w:numPr>
      </w:pPr>
      <w:r>
        <w:t xml:space="preserve">Can the cascade control provide improvement over the single-loop control</w:t>
      </w:r>
      <w:r>
        <w:t xml:space="preserve"> </w:t>
      </w:r>
      <w:r>
        <w:t xml:space="preserve">for the setpoint change? Show the closed-loop responses of the setpoint</w:t>
      </w:r>
      <w:r>
        <w:t xml:space="preserve"> </w:t>
      </w:r>
      <w:r>
        <w:t xml:space="preserve">tracking for the primary variable.</w:t>
      </w:r>
    </w:p>
    <w:p>
      <w:pPr>
        <w:numPr>
          <w:ilvl w:val="0"/>
          <w:numId w:val="1005"/>
        </w:numPr>
      </w:pPr>
      <w:r>
        <w:t xml:space="preserve">What happens if the system is subjected to modelling errors, e.g., 10%</w:t>
      </w:r>
      <w:r>
        <w:t xml:space="preserve"> </w:t>
      </w:r>
      <w:r>
        <w:t xml:space="preserve">errors in model parameters? Show the closed-loop responses to support</w:t>
      </w:r>
      <w:r>
        <w:t xml:space="preserve"> </w:t>
      </w:r>
      <w:r>
        <w:t xml:space="preserve">your discussion.</w:t>
      </w:r>
    </w:p>
    <w:bookmarkEnd w:id="27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511">
    <w:nsid w:val="00A99511"/>
    <w:multiLevelType w:val="multilevel"/>
    <w:lvl w:ilvl="0">
      <w:start w:val="1"/>
      <w:numFmt w:val="lowerRoman"/>
      <w:lvlText w:val="%1."/>
      <w:lvlJc w:val="left"/>
      <w:pPr>
        <w:ind w:left="720" w:hanging="480"/>
      </w:pPr>
    </w:lvl>
    <w:lvl w:ilvl="1">
      <w:start w:val="1"/>
      <w:numFmt w:val="lowerRoman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lowerRoman"/>
      <w:lvlText w:val="%4."/>
      <w:lvlJc w:val="left"/>
      <w:pPr>
        <w:ind w:left="2880" w:hanging="480"/>
      </w:pPr>
    </w:lvl>
    <w:lvl w:ilvl="4">
      <w:start w:val="1"/>
      <w:numFmt w:val="lowerRoman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lowerRoman"/>
      <w:lvlText w:val="%7."/>
      <w:lvlJc w:val="left"/>
      <w:pPr>
        <w:ind w:left="5040" w:hanging="480"/>
      </w:pPr>
    </w:lvl>
    <w:lvl w:ilvl="7">
      <w:start w:val="1"/>
      <w:numFmt w:val="lowerRoman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16cid:durableId="880825536"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02: Cascade control</dc:title>
  <dc:creator>Ranjeet Utikar</dc:creator>
  <cp:keywords/>
  <dcterms:created xsi:type="dcterms:W3CDTF">2024-10-06T22:51:36Z</dcterms:created>
  <dcterms:modified xsi:type="dcterms:W3CDTF">2024-10-06T22:51:36Z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sl">
    <vt:lpwstr>../../../bibliography/chicago-author-date.csl</vt:lpwstr>
  </property>
  <property fmtid="{D5CDD505-2E9C-101B-9397-08002B2CF9AE}" pid="8" name="date">
    <vt:lpwstr>2023-08-07</vt:lpwstr>
  </property>
  <property fmtid="{D5CDD505-2E9C-101B-9397-08002B2CF9AE}" pid="9" name="description-meta">
    <vt:lpwstr>An undergraduate course on advanced modeling and Control.</vt:lpwstr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link-bibliography">
    <vt:lpwstr>True</vt:lpwstr>
  </property>
  <property fmtid="{D5CDD505-2E9C-101B-9397-08002B2CF9AE}" pid="15" name="link-citations">
    <vt:lpwstr>True</vt:lpwstr>
  </property>
  <property fmtid="{D5CDD505-2E9C-101B-9397-08002B2CF9AE}" pid="16" name="number-depth">
    <vt:lpwstr>3</vt:lpwstr>
  </property>
  <property fmtid="{D5CDD505-2E9C-101B-9397-08002B2CF9AE}" pid="17" name="subtitle">
    <vt:lpwstr>CHEN4011: Advanced modeling and Control</vt:lpwstr>
  </property>
  <property fmtid="{D5CDD505-2E9C-101B-9397-08002B2CF9AE}" pid="18" name="toc-title">
    <vt:lpwstr>Table of contents</vt:lpwstr>
  </property>
</Properties>
</file>