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01:</w:t>
      </w:r>
      <w:r>
        <w:t xml:space="preserve"> </w:t>
      </w:r>
      <w:r>
        <w:t xml:space="preserve">Feedforward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CHEN4011:</w:t>
      </w:r>
      <w:r>
        <w:t xml:space="preserve"> </w:t>
      </w:r>
      <w:r>
        <w:t xml:space="preserve">Advanced</w:t>
      </w:r>
      <w:r>
        <w:t xml:space="preserve"> </w:t>
      </w:r>
      <w:r>
        <w:t xml:space="preserve">modeling</w:t>
      </w:r>
      <w:r>
        <w:t xml:space="preserve"> </w:t>
      </w:r>
      <w:r>
        <w:t xml:space="preserve">and</w:t>
      </w:r>
      <w:r>
        <w:t xml:space="preserve"> </w:t>
      </w:r>
      <w:r>
        <w:t xml:space="preserve">Control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2023-07-30</w:t>
      </w:r>
    </w:p>
    <w:bookmarkStart w:id="20" w:name="objectives"/>
    <w:p>
      <w:pPr>
        <w:pStyle w:val="Heading1"/>
      </w:pPr>
      <w:r>
        <w:t xml:space="preserve">1. Objectives</w:t>
      </w:r>
    </w:p>
    <w:p>
      <w:pPr>
        <w:numPr>
          <w:ilvl w:val="0"/>
          <w:numId w:val="1001"/>
        </w:numPr>
      </w:pPr>
      <w:r>
        <w:t xml:space="preserve">To design a feedforward controller in combination with a feedback controller</w:t>
      </w:r>
    </w:p>
    <w:p>
      <w:pPr>
        <w:numPr>
          <w:ilvl w:val="0"/>
          <w:numId w:val="1001"/>
        </w:numPr>
      </w:pPr>
      <w:r>
        <w:t xml:space="preserve">To evaluate the performances with and without feedforward controller in the</w:t>
      </w:r>
      <w:r>
        <w:t xml:space="preserve"> </w:t>
      </w:r>
      <w:r>
        <w:t xml:space="preserve">cases of setpoint tracking and disturbance rejection.</w:t>
      </w:r>
    </w:p>
    <w:p>
      <w:pPr>
        <w:numPr>
          <w:ilvl w:val="0"/>
          <w:numId w:val="1001"/>
        </w:numPr>
      </w:pPr>
      <w:r>
        <w:t xml:space="preserve">To develop Matlab Simulink model for the combined feedforward-feedback</w:t>
      </w:r>
      <w:r>
        <w:t xml:space="preserve"> </w:t>
      </w:r>
      <w:r>
        <w:t xml:space="preserve">control strategy</w:t>
      </w:r>
    </w:p>
    <w:bookmarkEnd w:id="20"/>
    <w:bookmarkStart w:id="22" w:name="process-information"/>
    <w:p>
      <w:pPr>
        <w:pStyle w:val="Heading1"/>
      </w:pPr>
      <w:r>
        <w:t xml:space="preserve">2. Process information</w:t>
      </w:r>
    </w:p>
    <w:p>
      <w:pPr>
        <w:pStyle w:val="FirstParagraph"/>
      </w:pPr>
      <w:r>
        <w:t xml:space="preserve">The transfer functions for the process and disturbance are</w:t>
      </w:r>
    </w:p>
    <w:p>
      <w:pPr>
        <w:pStyle w:val="BodyText"/>
      </w:pPr>
      <w:bookmarkStart w:id="21" w:name="eq-tf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p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10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  <m:r>
                          <m:t>s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1.5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den>
                </m:f>
              </m:e>
            </m:mr>
            <m:mr>
              <m:e>
                <m:r>
                  <m:rPr>
                    <m:nor/>
                    <m:sty m:val="p"/>
                  </m:rPr>
                  <m:t> Disturbance: </m:t>
                </m:r>
                <m:sSub>
                  <m:e>
                    <m:r>
                      <m:t>G</m:t>
                    </m:r>
                  </m:e>
                  <m:sub>
                    <m:r>
                      <m:t>d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−</m:t>
                    </m:r>
                    <m:r>
                      <m:t>8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3</m:t>
                        </m:r>
                        <m:r>
                          <m:t>s</m:t>
                        </m:r>
                      </m:e>
                    </m:d>
                  </m:num>
                  <m:den>
                    <m:r>
                      <m:t>20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1"/>
    </w:p>
    <w:bookmarkEnd w:id="22"/>
    <w:bookmarkStart w:id="24" w:name="simulation"/>
    <w:p>
      <w:pPr>
        <w:pStyle w:val="Heading1"/>
      </w:pPr>
      <w:r>
        <w:t xml:space="preserve">3. Simulation</w:t>
      </w:r>
    </w:p>
    <w:p>
      <w:pPr>
        <w:pStyle w:val="FirstParagraph"/>
      </w:pPr>
      <w:r>
        <w:t xml:space="preserve">Develop the Simulink models for the feedback control only and</w:t>
      </w:r>
      <w:r>
        <w:t xml:space="preserve"> </w:t>
      </w:r>
      <w:r>
        <w:t xml:space="preserve">feedforward-feedback control strategies. Design the feedback (PID) controller</w:t>
      </w:r>
      <w:r>
        <w:t xml:space="preserve"> </w:t>
      </w:r>
      <w:r>
        <w:t xml:space="preserve">using the PID tuner app. Also, design the feedforward controller using the</w:t>
      </w:r>
      <w:r>
        <w:t xml:space="preserve"> </w:t>
      </w:r>
      <w:r>
        <w:t xml:space="preserve">idealized method.</w:t>
      </w:r>
    </w:p>
    <w:p>
      <w:pPr>
        <w:pStyle w:val="BodyText"/>
      </w:pPr>
      <w:r>
        <w:t xml:space="preserve">Evaluate the control performance for:</w:t>
      </w:r>
    </w:p>
    <w:p>
      <w:pPr>
        <w:numPr>
          <w:ilvl w:val="0"/>
          <w:numId w:val="1002"/>
        </w:numPr>
      </w:pPr>
      <w:r>
        <w:t xml:space="preserve">Setpoint tracking</w:t>
      </w:r>
    </w:p>
    <w:p>
      <w:pPr>
        <w:numPr>
          <w:ilvl w:val="0"/>
          <w:numId w:val="1002"/>
        </w:numPr>
      </w:pPr>
      <w:r>
        <w:t xml:space="preserve">Disturbance rejections for both input and output disturbances</w:t>
      </w:r>
    </w:p>
    <w:p>
      <w:pPr>
        <w:pStyle w:val="FirstParagraph"/>
      </w:pPr>
      <w:r>
        <w:t xml:space="preserve">A second-order model can be reduced using the Skogestad’s half rule</w:t>
      </w:r>
      <w:r>
        <w:t xml:space="preserve"> </w:t>
      </w:r>
      <w:r>
        <w:t xml:space="preserve">(</w:t>
      </w:r>
      <w:hyperlink w:anchor="ref-skogestad2003jopc">
        <w:r>
          <w:rPr>
            <w:rStyle w:val="Hyperlink"/>
          </w:rPr>
          <w:t xml:space="preserve">Skogestad 2003</w:t>
        </w:r>
      </w:hyperlink>
      <w:r>
        <w:t xml:space="preserve">)</w:t>
      </w:r>
      <w:r>
        <w:t xml:space="preserve"> </w:t>
      </w:r>
      <w:r>
        <w:t xml:space="preserve">given</w:t>
      </w:r>
      <w:r>
        <w:t xml:space="preserve"> </w:t>
      </w:r>
      <w:r>
        <w:t xml:space="preserve">by</w:t>
      </w:r>
      <w:r>
        <w:t xml:space="preserve"> </w:t>
      </w:r>
      <w:hyperlink w:anchor="eq-skogestad-half">
        <w:r>
          <w:rPr>
            <w:rStyle w:val="Hyperlink"/>
          </w:rPr>
          <w:t xml:space="preserve">Equation 2</w:t>
        </w:r>
      </w:hyperlink>
      <w:r>
        <w:t xml:space="preserve">.</w:t>
      </w:r>
    </w:p>
    <w:p>
      <w:pPr>
        <w:pStyle w:val="BodyText"/>
      </w:pPr>
      <w:bookmarkStart w:id="23" w:name="eq-skogestad-half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K</m:t>
                  </m:r>
                </m:e>
                <m:sub>
                  <m:r>
                    <m:t>p</m:t>
                  </m:r>
                </m:sub>
              </m:sSub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sSub>
                    <m:e>
                      <m:r>
                        <m:t>θ</m:t>
                      </m:r>
                    </m:e>
                    <m:sub>
                      <m:r>
                        <m:t>p</m:t>
                      </m:r>
                    </m:sub>
                  </m:sSub>
                  <m:r>
                    <m:t>s</m:t>
                  </m:r>
                </m:sup>
              </m:sSup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τ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τ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rPr>
              <m:sty m:val="p"/>
            </m:rPr>
            <m:t>≅</m:t>
          </m:r>
          <m:f>
            <m:fPr>
              <m:type m:val="bar"/>
            </m:fPr>
            <m:num>
              <m:sSub>
                <m:e>
                  <m:r>
                    <m:t>K</m:t>
                  </m:r>
                </m:e>
                <m:sub>
                  <m:r>
                    <m:t>p</m:t>
                  </m:r>
                </m:sub>
              </m:sSub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sSub>
                    <m:e>
                      <m:r>
                        <m:t>θ</m:t>
                      </m:r>
                    </m:e>
                    <m:sub>
                      <m:r>
                        <m:t>e</m:t>
                      </m:r>
                    </m:sub>
                  </m:sSub>
                  <m:r>
                    <m:t>s</m:t>
                  </m:r>
                </m:sup>
              </m:sSup>
            </m:num>
            <m:den>
              <m:sSub>
                <m:e>
                  <m:r>
                    <m:t>τ</m:t>
                  </m:r>
                </m:e>
                <m:sub>
                  <m:r>
                    <m:t>1</m:t>
                  </m:r>
                </m:sub>
              </m:sSub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rPr>
              <m:nor/>
              <m:sty m:val="p"/>
            </m:rPr>
            <m:t> where </m:t>
          </m:r>
          <m:sSub>
            <m:e>
              <m:r>
                <m:t>τ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&gt;</m:t>
          </m:r>
          <m:sSub>
            <m:e>
              <m:r>
                <m:t>τ</m:t>
              </m:r>
            </m:e>
            <m:sub>
              <m:r>
                <m:t>2</m:t>
              </m:r>
            </m:sub>
          </m:sSub>
          <m:r>
            <m:rPr>
              <m:nor/>
              <m:sty m:val="p"/>
            </m:rPr>
            <m:t> and </m:t>
          </m:r>
          <m:sSub>
            <m:e>
              <m:r>
                <m:t>θ</m:t>
              </m:r>
            </m:e>
            <m:sub>
              <m:r>
                <m:t>e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θ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+</m:t>
          </m:r>
          <m:sSub>
            <m:e>
              <m:r>
                <m:t>τ</m:t>
              </m:r>
            </m:e>
            <m:sub>
              <m:r>
                <m:t>2</m:t>
              </m:r>
            </m:sub>
          </m:sSub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3"/>
    </w:p>
    <w:bookmarkEnd w:id="24"/>
    <w:bookmarkStart w:id="29" w:name="report-format"/>
    <w:p>
      <w:pPr>
        <w:pStyle w:val="Heading1"/>
      </w:pPr>
      <w:r>
        <w:t xml:space="preserve">4. Report Format</w:t>
      </w:r>
    </w:p>
    <w:p>
      <w:pPr>
        <w:numPr>
          <w:ilvl w:val="0"/>
          <w:numId w:val="1003"/>
        </w:numPr>
      </w:pPr>
      <w:r>
        <w:t xml:space="preserve">Show the MATLAB Simulink Model of the combined feedforward-feedback control</w:t>
      </w:r>
      <w:r>
        <w:t xml:space="preserve"> </w:t>
      </w:r>
      <w:r>
        <w:t xml:space="preserve">strategy. Briefly explain the model. [2 marks]</w:t>
      </w:r>
    </w:p>
    <w:p>
      <w:pPr>
        <w:numPr>
          <w:ilvl w:val="0"/>
          <w:numId w:val="1003"/>
        </w:numPr>
      </w:pPr>
      <w:r>
        <w:t xml:space="preserve">Show the PID controller and feedforward controllers (using idealized</w:t>
      </w:r>
      <w:r>
        <w:t xml:space="preserve"> </w:t>
      </w:r>
      <w:r>
        <w:t xml:space="preserve">method). [2 marks]</w:t>
      </w:r>
    </w:p>
    <w:p>
      <w:pPr>
        <w:numPr>
          <w:ilvl w:val="0"/>
          <w:numId w:val="1003"/>
        </w:numPr>
      </w:pPr>
      <w:r>
        <w:t xml:space="preserve">Compare and comment on the control performances (setpoint tracking and</w:t>
      </w:r>
      <w:r>
        <w:t xml:space="preserve"> </w:t>
      </w:r>
      <w:r>
        <w:t xml:space="preserve">disturbance rejection) of the two control strategies: (1) feedback control only,</w:t>
      </w:r>
      <w:r>
        <w:t xml:space="preserve"> </w:t>
      </w:r>
      <w:r>
        <w:t xml:space="preserve">and (2) combined feedbackfeedforward control (idealized method). Show the plots</w:t>
      </w:r>
      <w:r>
        <w:t xml:space="preserve"> </w:t>
      </w:r>
      <w:r>
        <w:t xml:space="preserve">of the controlled variable under the two different control strategies. [6</w:t>
      </w:r>
      <w:r>
        <w:t xml:space="preserve"> </w:t>
      </w:r>
      <w:r>
        <w:t xml:space="preserve">marks]</w:t>
      </w:r>
    </w:p>
    <w:p>
      <w:pPr>
        <w:numPr>
          <w:ilvl w:val="0"/>
          <w:numId w:val="1004"/>
        </w:numPr>
      </w:pPr>
      <w:r>
        <w:t xml:space="preserve">Does the implementation of the feedforward controller improve the setpoint</w:t>
      </w:r>
      <w:r>
        <w:t xml:space="preserve"> </w:t>
      </w:r>
      <w:r>
        <w:t xml:space="preserve">or disturbance rejection performance?</w:t>
      </w:r>
    </w:p>
    <w:p>
      <w:pPr>
        <w:numPr>
          <w:ilvl w:val="0"/>
          <w:numId w:val="1004"/>
        </w:numPr>
      </w:pPr>
      <w:r>
        <w:t xml:space="preserve">Will the control system remain stable when subjected to the 10% modelling</w:t>
      </w:r>
      <w:r>
        <w:t xml:space="preserve"> </w:t>
      </w:r>
      <w:r>
        <w:t xml:space="preserve">errors?</w:t>
      </w:r>
    </w:p>
    <w:p>
      <w:pPr>
        <w:numPr>
          <w:ilvl w:val="0"/>
          <w:numId w:val="1004"/>
        </w:numPr>
      </w:pPr>
      <w:r>
        <w:t xml:space="preserve">Which feedforward controller that gives the best result, based on the</w:t>
      </w:r>
      <w:r>
        <w:t xml:space="preserve"> </w:t>
      </w:r>
      <w:r>
        <w:t xml:space="preserve">unified or idealized method?</w:t>
      </w:r>
    </w:p>
    <w:bookmarkStart w:id="28" w:name="references"/>
    <w:p>
      <w:pPr>
        <w:pStyle w:val="Heading2"/>
      </w:pPr>
      <w:r>
        <w:t xml:space="preserve">4.1 References</w:t>
      </w:r>
    </w:p>
    <w:bookmarkStart w:id="27" w:name="refs"/>
    <w:bookmarkStart w:id="26" w:name="ref-skogestad2003jopc"/>
    <w:p>
      <w:pPr>
        <w:pStyle w:val="Bibliography"/>
      </w:pPr>
      <w:r>
        <w:t xml:space="preserve">Skogestad, Sigurd. 2003.</w:t>
      </w:r>
      <w:r>
        <w:t xml:space="preserve"> </w:t>
      </w:r>
      <w:r>
        <w:t xml:space="preserve">“Simple Analytic Rules for Model Reduction and PID Controller Tuning.”</w:t>
      </w:r>
      <w:r>
        <w:t xml:space="preserve"> </w:t>
      </w:r>
      <w:r>
        <w:rPr>
          <w:i/>
          <w:iCs/>
        </w:rPr>
        <w:t xml:space="preserve">Journal of Process Control</w:t>
      </w:r>
      <w:r>
        <w:t xml:space="preserve"> </w:t>
      </w:r>
      <w:r>
        <w:t xml:space="preserve">13 (4): 291–309.</w:t>
      </w:r>
      <w:r>
        <w:t xml:space="preserve"> </w:t>
      </w:r>
      <w:hyperlink r:id="rId25">
        <w:r>
          <w:rPr>
            <w:rStyle w:val="Hyperlink"/>
          </w:rPr>
          <w:t xml:space="preserve">https://doi.org/10.1016/S0959-1524(02)00062-8</w:t>
        </w:r>
      </w:hyperlink>
      <w:r>
        <w:t xml:space="preserve">.</w:t>
      </w:r>
    </w:p>
    <w:bookmarkEnd w:id="26"/>
    <w:bookmarkEnd w:id="27"/>
    <w:bookmarkEnd w:id="28"/>
    <w:bookmarkEnd w:id="29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421">
    <w:nsid w:val="00A99421"/>
    <w:multiLevelType w:val="multilevel"/>
    <w:lvl w:ilvl="0">
      <w:start w:val="1"/>
      <w:numFmt w:val="decimal"/>
      <w:lvlText w:val="%1)"/>
      <w:lvlJc w:val="left"/>
      <w:pPr>
        <w:ind w:left="720" w:hanging="480"/>
      </w:pPr>
    </w:lvl>
    <w:lvl w:ilvl="1">
      <w:start w:val="1"/>
      <w:numFmt w:val="decimal"/>
      <w:lvlText w:val="%2)"/>
      <w:lvlJc w:val="left"/>
      <w:pPr>
        <w:ind w:left="1440" w:hanging="480"/>
      </w:pPr>
    </w:lvl>
    <w:lvl w:ilvl="2">
      <w:start w:val="1"/>
      <w:numFmt w:val="decimal"/>
      <w:lvlText w:val="%3)"/>
      <w:lvlJc w:val="left"/>
      <w:pPr>
        <w:ind w:left="2160" w:hanging="480"/>
      </w:pPr>
    </w:lvl>
    <w:lvl w:ilvl="3">
      <w:start w:val="1"/>
      <w:numFmt w:val="decimal"/>
      <w:lvlText w:val="%4)"/>
      <w:lvlJc w:val="left"/>
      <w:pPr>
        <w:ind w:left="2880" w:hanging="480"/>
      </w:pPr>
    </w:lvl>
    <w:lvl w:ilvl="4">
      <w:start w:val="1"/>
      <w:numFmt w:val="decimal"/>
      <w:lvlText w:val="%5)"/>
      <w:lvlJc w:val="left"/>
      <w:pPr>
        <w:ind w:left="3600" w:hanging="480"/>
      </w:pPr>
    </w:lvl>
    <w:lvl w:ilvl="5">
      <w:start w:val="1"/>
      <w:numFmt w:val="decimal"/>
      <w:lvlText w:val="%6)"/>
      <w:lvlJc w:val="left"/>
      <w:pPr>
        <w:ind w:left="4320" w:hanging="480"/>
      </w:pPr>
    </w:lvl>
    <w:lvl w:ilvl="6">
      <w:start w:val="1"/>
      <w:numFmt w:val="decimal"/>
      <w:lvlText w:val="%7)"/>
      <w:lvlJc w:val="left"/>
      <w:pPr>
        <w:ind w:left="5040" w:hanging="480"/>
      </w:pPr>
    </w:lvl>
    <w:lvl w:ilvl="7">
      <w:start w:val="1"/>
      <w:numFmt w:val="decimal"/>
      <w:lvlText w:val="%8)"/>
      <w:lvlJc w:val="left"/>
      <w:pPr>
        <w:ind w:left="5760" w:hanging="480"/>
      </w:pPr>
    </w:lvl>
    <w:lvl w:ilvl="8">
      <w:start w:val="1"/>
      <w:numFmt w:val="decimal"/>
      <w:lvlText w:val="%9)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hyperlink" Id="rId25" Target="https://doi.org/10.1016/S0959-1524(02)00062-8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doi.org/10.1016/S0959-1524(02)00062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01: Feedforward control</dc:title>
  <dc:creator>Ranjeet Utikar</dc:creator>
  <cp:keywords/>
  <dcterms:created xsi:type="dcterms:W3CDTF">2024-10-06T22:51:29Z</dcterms:created>
  <dcterms:modified xsi:type="dcterms:W3CDTF">2024-10-06T22:51:29Z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2023-07-30</vt:lpwstr>
  </property>
  <property fmtid="{D5CDD505-2E9C-101B-9397-08002B2CF9AE}" pid="9" name="description-meta">
    <vt:lpwstr>An undergraduate course on advanced modeling and Control.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nk-bibliography">
    <vt:lpwstr>True</vt:lpwstr>
  </property>
  <property fmtid="{D5CDD505-2E9C-101B-9397-08002B2CF9AE}" pid="15" name="link-citations">
    <vt:lpwstr>True</vt:lpwstr>
  </property>
  <property fmtid="{D5CDD505-2E9C-101B-9397-08002B2CF9AE}" pid="16" name="number-depth">
    <vt:lpwstr>3</vt:lpwstr>
  </property>
  <property fmtid="{D5CDD505-2E9C-101B-9397-08002B2CF9AE}" pid="17" name="subtitle">
    <vt:lpwstr>CHEN4011: Advanced modeling and Control</vt:lpwstr>
  </property>
  <property fmtid="{D5CDD505-2E9C-101B-9397-08002B2CF9AE}" pid="18" name="toc-title">
    <vt:lpwstr>Table of contents</vt:lpwstr>
  </property>
</Properties>
</file>